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F4" w:rsidRPr="009A03F4" w:rsidRDefault="009A03F4" w:rsidP="009A03F4">
      <w:pPr>
        <w:widowControl/>
        <w:spacing w:line="320" w:lineRule="exact"/>
        <w:jc w:val="center"/>
        <w:rPr>
          <w:rFonts w:asciiTheme="majorEastAsia" w:eastAsiaTheme="majorEastAsia" w:hAnsiTheme="majorEastAsia" w:cs="Tahoma" w:hint="eastAsia"/>
          <w:b/>
          <w:kern w:val="0"/>
          <w:sz w:val="22"/>
        </w:rPr>
      </w:pPr>
      <w:bookmarkStart w:id="0" w:name="_GoBack"/>
      <w:r w:rsidRPr="009A03F4">
        <w:rPr>
          <w:rFonts w:asciiTheme="majorEastAsia" w:eastAsiaTheme="majorEastAsia" w:hAnsiTheme="majorEastAsia" w:cs="Tahoma"/>
          <w:b/>
          <w:kern w:val="0"/>
          <w:sz w:val="22"/>
        </w:rPr>
        <w:t>201</w:t>
      </w:r>
      <w:r w:rsidRPr="009A03F4">
        <w:rPr>
          <w:rFonts w:asciiTheme="majorEastAsia" w:eastAsiaTheme="majorEastAsia" w:hAnsiTheme="majorEastAsia" w:cs="Tahoma" w:hint="eastAsia"/>
          <w:b/>
          <w:kern w:val="0"/>
          <w:sz w:val="22"/>
        </w:rPr>
        <w:t>6</w:t>
      </w:r>
      <w:r w:rsidRPr="009A03F4">
        <w:rPr>
          <w:rFonts w:asciiTheme="majorEastAsia" w:eastAsiaTheme="majorEastAsia" w:hAnsiTheme="majorEastAsia" w:cs="Tahoma"/>
          <w:b/>
          <w:kern w:val="0"/>
          <w:sz w:val="22"/>
        </w:rPr>
        <w:t>年</w:t>
      </w:r>
      <w:r w:rsidRPr="009A03F4">
        <w:rPr>
          <w:rFonts w:asciiTheme="majorEastAsia" w:eastAsiaTheme="majorEastAsia" w:hAnsiTheme="majorEastAsia" w:cs="Tahoma" w:hint="eastAsia"/>
          <w:b/>
          <w:kern w:val="0"/>
          <w:sz w:val="22"/>
        </w:rPr>
        <w:t>度</w:t>
      </w:r>
      <w:r w:rsidRPr="009A03F4">
        <w:rPr>
          <w:rFonts w:asciiTheme="majorEastAsia" w:eastAsiaTheme="majorEastAsia" w:hAnsiTheme="majorEastAsia" w:cs="Tahoma"/>
          <w:b/>
          <w:kern w:val="0"/>
          <w:sz w:val="22"/>
        </w:rPr>
        <w:t>档案扫描、移交日程安排</w:t>
      </w:r>
    </w:p>
    <w:bookmarkEnd w:id="0"/>
    <w:p w:rsidR="009A03F4" w:rsidRPr="003F70AA" w:rsidRDefault="009A03F4" w:rsidP="009A03F4">
      <w:pPr>
        <w:widowControl/>
        <w:spacing w:line="320" w:lineRule="exact"/>
        <w:jc w:val="center"/>
        <w:rPr>
          <w:rFonts w:asciiTheme="majorEastAsia" w:eastAsiaTheme="majorEastAsia" w:hAnsiTheme="majorEastAsia" w:cs="Tahoma" w:hint="eastAsia"/>
          <w:kern w:val="0"/>
          <w:sz w:val="22"/>
        </w:rPr>
      </w:pPr>
    </w:p>
    <w:tbl>
      <w:tblPr>
        <w:tblW w:w="9032" w:type="dxa"/>
        <w:jc w:val="center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6475"/>
        <w:gridCol w:w="1602"/>
      </w:tblGrid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序号</w:t>
            </w:r>
          </w:p>
        </w:tc>
        <w:tc>
          <w:tcPr>
            <w:tcW w:w="6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单   位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时间</w:t>
            </w:r>
          </w:p>
        </w:tc>
      </w:tr>
      <w:tr w:rsidR="009A03F4" w:rsidRPr="003F70AA" w:rsidTr="00655815">
        <w:trPr>
          <w:trHeight w:val="488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1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工会、机关党委、信息网络中心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4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2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宣传部、作文评点报、资产经营管理责任有限公司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5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3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统战部、纪委办公室、监察处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6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4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发展规划处、离退休工作处、保卫处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7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5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国际交流与合作处、学生就业工作处、国际文化交流学院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8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6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学报、高师培训中心、教师发展中心、校友办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11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7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资产管理处（招标采购中心）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12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8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继续教育学院、附中附小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、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图书馆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13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人事处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、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学生工作部（处）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、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团委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9月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14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10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组织部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、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党委办公室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、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校长办公室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9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15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11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长春校区办公室、审计处、后勤管理处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、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研究生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院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9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18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12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教务处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9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19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13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科研处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9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20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  <w:tr w:rsidR="009A03F4" w:rsidRPr="003F70AA" w:rsidTr="00655815">
        <w:trPr>
          <w:trHeight w:val="403"/>
          <w:jc w:val="center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14</w:t>
            </w:r>
          </w:p>
        </w:tc>
        <w:tc>
          <w:tcPr>
            <w:tcW w:w="6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计划财务处、基建管理处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03F4" w:rsidRPr="003F70AA" w:rsidRDefault="009A03F4" w:rsidP="00655815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Theme="majorEastAsia" w:eastAsiaTheme="majorEastAsia" w:hAnsiTheme="majorEastAsia" w:cs="Tahoma"/>
                <w:kern w:val="0"/>
                <w:sz w:val="22"/>
              </w:rPr>
            </w:pP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9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月</w:t>
            </w:r>
            <w:r w:rsidRPr="003F70AA">
              <w:rPr>
                <w:rFonts w:asciiTheme="majorEastAsia" w:eastAsiaTheme="majorEastAsia" w:hAnsiTheme="majorEastAsia" w:cs="Tahoma" w:hint="eastAsia"/>
                <w:kern w:val="0"/>
                <w:sz w:val="22"/>
              </w:rPr>
              <w:t>21</w:t>
            </w:r>
            <w:r w:rsidRPr="003F70AA">
              <w:rPr>
                <w:rFonts w:asciiTheme="majorEastAsia" w:eastAsiaTheme="majorEastAsia" w:hAnsiTheme="majorEastAsia" w:cs="Tahoma"/>
                <w:kern w:val="0"/>
                <w:sz w:val="22"/>
              </w:rPr>
              <w:t>日</w:t>
            </w:r>
          </w:p>
        </w:tc>
      </w:tr>
    </w:tbl>
    <w:p w:rsidR="00B95317" w:rsidRDefault="00B95317"/>
    <w:sectPr w:rsidR="00B95317" w:rsidSect="00B9531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F4"/>
    <w:rsid w:val="009A03F4"/>
    <w:rsid w:val="00B9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08BC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F4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F4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Macintosh Word</Application>
  <DocSecurity>0</DocSecurity>
  <Lines>2</Lines>
  <Paragraphs>1</Paragraphs>
  <ScaleCrop>false</ScaleCrop>
  <Company>apple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apple</dc:creator>
  <cp:keywords/>
  <dc:description/>
  <cp:lastModifiedBy>apple apple</cp:lastModifiedBy>
  <cp:revision>1</cp:revision>
  <dcterms:created xsi:type="dcterms:W3CDTF">2017-08-29T02:15:00Z</dcterms:created>
  <dcterms:modified xsi:type="dcterms:W3CDTF">2017-08-29T02:16:00Z</dcterms:modified>
</cp:coreProperties>
</file>