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eastAsia="仿宋_GB2312"/>
          <w:b/>
          <w:sz w:val="32"/>
          <w:szCs w:val="32"/>
        </w:rPr>
      </w:pPr>
      <w:r>
        <w:rPr>
          <w:rFonts w:eastAsia="仿宋_GB2312"/>
          <w:kern w:val="0"/>
          <w:sz w:val="30"/>
          <w:szCs w:val="30"/>
        </w:rPr>
        <w:t>附件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</w:t>
      </w:r>
      <w:bookmarkStart w:id="0" w:name="_GoBack"/>
      <w:bookmarkEnd w:id="0"/>
    </w:p>
    <w:p>
      <w:pPr>
        <w:spacing w:line="380" w:lineRule="exact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国家级虚拟仿真实验教学中心遴选要求</w:t>
      </w:r>
    </w:p>
    <w:tbl>
      <w:tblPr>
        <w:tblpPr w:leftFromText="180" w:rightFromText="180" w:vertAnchor="text" w:horzAnchor="margin" w:tblpXSpec="center" w:tblpY="228"/>
        <w:tblW w:w="8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03"/>
        <w:gridCol w:w="1332"/>
        <w:gridCol w:w="5953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7" w:hRule="atLeast"/>
        </w:trPr>
        <w:tc>
          <w:tcPr>
            <w:tcW w:w="2235" w:type="dxa"/>
            <w:gridSpan w:val="2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b/>
                <w:color w:val="0D0D0D"/>
                <w:sz w:val="24"/>
              </w:rPr>
            </w:pPr>
            <w:r>
              <w:rPr>
                <w:rFonts w:eastAsia="仿宋_GB2312"/>
                <w:b/>
                <w:color w:val="0D0D0D"/>
                <w:sz w:val="24"/>
              </w:rPr>
              <w:t>遴选要求</w:t>
            </w:r>
          </w:p>
        </w:tc>
        <w:tc>
          <w:tcPr>
            <w:tcW w:w="6662" w:type="dxa"/>
            <w:gridSpan w:val="2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b/>
                <w:color w:val="0D0D0D"/>
                <w:sz w:val="24"/>
              </w:rPr>
            </w:pPr>
            <w:r>
              <w:rPr>
                <w:rFonts w:eastAsia="仿宋_GB2312"/>
                <w:b/>
                <w:color w:val="0D0D0D"/>
                <w:sz w:val="24"/>
              </w:rPr>
              <w:t>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25" w:hRule="atLeast"/>
        </w:trPr>
        <w:tc>
          <w:tcPr>
            <w:tcW w:w="2235" w:type="dxa"/>
            <w:gridSpan w:val="2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b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>特色</w:t>
            </w:r>
            <w:r>
              <w:rPr>
                <w:rFonts w:hint="eastAsia" w:eastAsia="仿宋_GB2312"/>
                <w:color w:val="0D0D0D"/>
                <w:sz w:val="24"/>
              </w:rPr>
              <w:t>与创</w:t>
            </w:r>
            <w:r>
              <w:rPr>
                <w:rFonts w:eastAsia="仿宋_GB2312"/>
                <w:color w:val="0D0D0D"/>
                <w:sz w:val="24"/>
              </w:rPr>
              <w:t>新</w:t>
            </w:r>
          </w:p>
        </w:tc>
        <w:tc>
          <w:tcPr>
            <w:tcW w:w="5953" w:type="dxa"/>
            <w:tcBorders>
              <w:right w:val="nil"/>
            </w:tcBorders>
            <w:vAlign w:val="center"/>
          </w:tcPr>
          <w:p>
            <w:pPr>
              <w:snapToGrid w:val="0"/>
              <w:spacing w:beforeLines="10" w:afterLines="10"/>
              <w:jc w:val="left"/>
              <w:rPr>
                <w:rFonts w:eastAsia="仿宋_GB2312"/>
                <w:b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Cs w:val="21"/>
              </w:rPr>
              <w:t>虚拟仿真实验教学中心建设</w:t>
            </w:r>
            <w:r>
              <w:rPr>
                <w:rFonts w:hint="eastAsia" w:eastAsia="仿宋_GB2312"/>
                <w:color w:val="0D0D0D"/>
                <w:szCs w:val="21"/>
              </w:rPr>
              <w:t>特色与</w:t>
            </w:r>
            <w:r>
              <w:rPr>
                <w:rFonts w:eastAsia="仿宋_GB2312"/>
                <w:color w:val="0D0D0D"/>
                <w:szCs w:val="21"/>
              </w:rPr>
              <w:t>创新。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59" w:hRule="atLeast"/>
        </w:trPr>
        <w:tc>
          <w:tcPr>
            <w:tcW w:w="903" w:type="dxa"/>
            <w:vMerge w:val="restart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>虚拟仿真实验教学资源</w:t>
            </w:r>
          </w:p>
        </w:tc>
        <w:tc>
          <w:tcPr>
            <w:tcW w:w="1332" w:type="dxa"/>
            <w:vAlign w:val="center"/>
          </w:tcPr>
          <w:p>
            <w:pPr>
              <w:snapToGrid w:val="0"/>
              <w:spacing w:beforeLines="10" w:afterLines="10"/>
              <w:jc w:val="left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1虚拟仿真实验教学资源建设</w:t>
            </w:r>
          </w:p>
        </w:tc>
        <w:tc>
          <w:tcPr>
            <w:tcW w:w="5953" w:type="dxa"/>
            <w:tcBorders>
              <w:right w:val="nil"/>
            </w:tcBorders>
            <w:vAlign w:val="center"/>
          </w:tcPr>
          <w:p>
            <w:pPr>
              <w:numPr>
                <w:ilvl w:val="0"/>
                <w:numId w:val="1"/>
              </w:numPr>
              <w:snapToGrid w:val="0"/>
              <w:spacing w:beforeLines="10" w:afterLines="10"/>
              <w:jc w:val="left"/>
              <w:rPr>
                <w:rFonts w:eastAsia="仿宋_GB2312"/>
                <w:color w:val="0D0D0D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教学资源的</w:t>
            </w:r>
            <w:r>
              <w:rPr>
                <w:rFonts w:hint="eastAsia" w:eastAsia="仿宋_GB2312"/>
                <w:color w:val="0D0D0D"/>
                <w:kern w:val="0"/>
                <w:szCs w:val="21"/>
              </w:rPr>
              <w:t>必要</w:t>
            </w:r>
            <w:r>
              <w:rPr>
                <w:rFonts w:eastAsia="仿宋_GB2312"/>
                <w:color w:val="0D0D0D"/>
                <w:kern w:val="0"/>
                <w:szCs w:val="21"/>
              </w:rPr>
              <w:t>性、</w:t>
            </w:r>
            <w:r>
              <w:rPr>
                <w:rFonts w:hint="eastAsia" w:eastAsia="仿宋_GB2312"/>
                <w:color w:val="0D0D0D"/>
                <w:kern w:val="0"/>
                <w:szCs w:val="21"/>
              </w:rPr>
              <w:t>适用</w:t>
            </w:r>
            <w:r>
              <w:rPr>
                <w:rFonts w:eastAsia="仿宋_GB2312"/>
                <w:color w:val="0D0D0D"/>
                <w:kern w:val="0"/>
                <w:szCs w:val="21"/>
              </w:rPr>
              <w:t>性、</w:t>
            </w:r>
            <w:r>
              <w:rPr>
                <w:rFonts w:hint="eastAsia" w:eastAsia="仿宋_GB2312"/>
                <w:color w:val="0D0D0D"/>
                <w:kern w:val="0"/>
                <w:szCs w:val="21"/>
              </w:rPr>
              <w:t>创新</w:t>
            </w:r>
            <w:r>
              <w:rPr>
                <w:rFonts w:eastAsia="仿宋_GB2312"/>
                <w:color w:val="0D0D0D"/>
                <w:kern w:val="0"/>
                <w:szCs w:val="21"/>
              </w:rPr>
              <w:t>性，实验项目的丰富程度；</w:t>
            </w:r>
          </w:p>
          <w:p>
            <w:pPr>
              <w:numPr>
                <w:ilvl w:val="0"/>
                <w:numId w:val="1"/>
              </w:numPr>
              <w:snapToGrid w:val="0"/>
              <w:spacing w:beforeLines="10" w:afterLines="10"/>
              <w:jc w:val="left"/>
              <w:rPr>
                <w:rFonts w:eastAsia="仿宋_GB2312"/>
                <w:color w:val="0D0D0D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真实实验无法开展或高危险的实验教学资源；或大型、综合的虚拟实训资源；或模拟真实实验教学中成本高、资源（包括能源和试验原材料）消耗大、污染严重的实验教学资源；其他虚拟仿真实验教学资源；</w:t>
            </w:r>
          </w:p>
          <w:p>
            <w:pPr>
              <w:numPr>
                <w:ilvl w:val="0"/>
                <w:numId w:val="1"/>
              </w:numPr>
              <w:snapToGrid w:val="0"/>
              <w:spacing w:beforeLines="10" w:afterLines="10"/>
              <w:jc w:val="left"/>
              <w:rPr>
                <w:rFonts w:eastAsia="仿宋_GB2312"/>
                <w:color w:val="0D0D0D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可配置、连接、调节和使用虚拟实验仪器设备进行实验；</w:t>
            </w:r>
          </w:p>
          <w:p>
            <w:pPr>
              <w:numPr>
                <w:ilvl w:val="0"/>
                <w:numId w:val="1"/>
              </w:numPr>
              <w:snapToGrid w:val="0"/>
              <w:spacing w:beforeLines="10" w:afterLines="10"/>
              <w:jc w:val="left"/>
              <w:rPr>
                <w:rFonts w:eastAsia="仿宋_GB2312"/>
                <w:color w:val="0D0D0D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教学资源开放共享的可</w:t>
            </w:r>
            <w:r>
              <w:rPr>
                <w:rFonts w:hint="eastAsia" w:eastAsia="仿宋_GB2312"/>
                <w:color w:val="0D0D0D"/>
                <w:kern w:val="0"/>
                <w:szCs w:val="21"/>
              </w:rPr>
              <w:t>行</w:t>
            </w:r>
            <w:r>
              <w:rPr>
                <w:rFonts w:eastAsia="仿宋_GB2312"/>
                <w:color w:val="0D0D0D"/>
                <w:kern w:val="0"/>
                <w:szCs w:val="21"/>
              </w:rPr>
              <w:t>性。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30" w:hRule="atLeast"/>
        </w:trPr>
        <w:tc>
          <w:tcPr>
            <w:tcW w:w="903" w:type="dxa"/>
            <w:vMerge w:val="continue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snapToGrid w:val="0"/>
              <w:spacing w:beforeLines="10" w:afterLines="10"/>
              <w:jc w:val="left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hint="eastAsia" w:eastAsia="仿宋_GB2312"/>
                <w:color w:val="0D0D0D"/>
                <w:kern w:val="0"/>
                <w:szCs w:val="21"/>
              </w:rPr>
              <w:t>2</w:t>
            </w:r>
            <w:r>
              <w:rPr>
                <w:rFonts w:eastAsia="仿宋_GB2312"/>
                <w:snapToGrid w:val="0"/>
                <w:color w:val="0D0D0D"/>
                <w:kern w:val="0"/>
                <w:szCs w:val="21"/>
              </w:rPr>
              <w:t>科研成果转化为实验教学内容</w:t>
            </w:r>
          </w:p>
        </w:tc>
        <w:tc>
          <w:tcPr>
            <w:tcW w:w="6662" w:type="dxa"/>
            <w:gridSpan w:val="2"/>
            <w:vAlign w:val="center"/>
          </w:tcPr>
          <w:p>
            <w:pPr>
              <w:numPr>
                <w:ilvl w:val="0"/>
                <w:numId w:val="2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科研设备用于虚拟仿真实验教学；</w:t>
            </w:r>
          </w:p>
          <w:p>
            <w:pPr>
              <w:numPr>
                <w:ilvl w:val="0"/>
                <w:numId w:val="2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科研成果拓展虚拟仿真实验教学范围、丰富虚拟仿真实验教学内容；</w:t>
            </w:r>
          </w:p>
          <w:p>
            <w:pPr>
              <w:numPr>
                <w:ilvl w:val="0"/>
                <w:numId w:val="2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科研成果开</w:t>
            </w:r>
            <w:r>
              <w:rPr>
                <w:rFonts w:hint="eastAsia" w:eastAsia="仿宋_GB2312"/>
                <w:color w:val="0D0D0D"/>
                <w:kern w:val="0"/>
                <w:szCs w:val="21"/>
              </w:rPr>
              <w:t>阔</w:t>
            </w:r>
            <w:r>
              <w:rPr>
                <w:rFonts w:eastAsia="仿宋_GB2312"/>
                <w:color w:val="0D0D0D"/>
                <w:kern w:val="0"/>
                <w:szCs w:val="21"/>
              </w:rPr>
              <w:t>学生视野、</w:t>
            </w:r>
            <w:r>
              <w:rPr>
                <w:rFonts w:hint="eastAsia" w:eastAsia="仿宋_GB2312"/>
                <w:color w:val="0D0D0D"/>
                <w:kern w:val="0"/>
                <w:szCs w:val="21"/>
              </w:rPr>
              <w:t>拓展</w:t>
            </w:r>
            <w:r>
              <w:rPr>
                <w:rFonts w:eastAsia="仿宋_GB2312"/>
                <w:color w:val="0D0D0D"/>
                <w:kern w:val="0"/>
                <w:szCs w:val="21"/>
              </w:rPr>
              <w:t>知识结构、</w:t>
            </w:r>
            <w:r>
              <w:rPr>
                <w:rFonts w:hint="eastAsia" w:eastAsia="仿宋_GB2312"/>
                <w:color w:val="0D0D0D"/>
                <w:kern w:val="0"/>
                <w:szCs w:val="21"/>
              </w:rPr>
              <w:t>提升</w:t>
            </w:r>
            <w:r>
              <w:rPr>
                <w:rFonts w:eastAsia="仿宋_GB2312"/>
                <w:color w:val="0D0D0D"/>
                <w:kern w:val="0"/>
                <w:szCs w:val="21"/>
              </w:rPr>
              <w:t>综合能力。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2" w:hRule="atLeast"/>
        </w:trPr>
        <w:tc>
          <w:tcPr>
            <w:tcW w:w="903" w:type="dxa"/>
            <w:vMerge w:val="continue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snapToGrid w:val="0"/>
              <w:spacing w:beforeLines="10" w:afterLines="10"/>
              <w:jc w:val="left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hint="eastAsia" w:eastAsia="仿宋_GB2312"/>
                <w:color w:val="0D0D0D"/>
                <w:kern w:val="0"/>
                <w:szCs w:val="21"/>
              </w:rPr>
              <w:t>3校企合作</w:t>
            </w:r>
          </w:p>
        </w:tc>
        <w:tc>
          <w:tcPr>
            <w:tcW w:w="6662" w:type="dxa"/>
            <w:gridSpan w:val="2"/>
            <w:vAlign w:val="center"/>
          </w:tcPr>
          <w:p>
            <w:pPr>
              <w:numPr>
                <w:ilvl w:val="0"/>
                <w:numId w:val="3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校企共建共管的合作模式和成果；</w:t>
            </w:r>
          </w:p>
          <w:p>
            <w:pPr>
              <w:numPr>
                <w:ilvl w:val="0"/>
                <w:numId w:val="3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虚拟仿真实验教学可持续发展思路和办法的可操作性。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2" w:hRule="atLeast"/>
        </w:trPr>
        <w:tc>
          <w:tcPr>
            <w:tcW w:w="903" w:type="dxa"/>
            <w:vMerge w:val="continue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snapToGrid w:val="0"/>
              <w:spacing w:beforeLines="10" w:afterLines="10"/>
              <w:jc w:val="left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hint="eastAsia" w:eastAsia="仿宋_GB2312"/>
                <w:color w:val="0D0D0D"/>
                <w:kern w:val="0"/>
                <w:szCs w:val="21"/>
              </w:rPr>
              <w:t>4</w:t>
            </w:r>
            <w:r>
              <w:rPr>
                <w:rFonts w:eastAsia="仿宋_GB2312"/>
                <w:snapToGrid w:val="0"/>
                <w:color w:val="0D0D0D"/>
                <w:kern w:val="0"/>
                <w:szCs w:val="21"/>
              </w:rPr>
              <w:t>资源共享</w:t>
            </w:r>
          </w:p>
        </w:tc>
        <w:tc>
          <w:tcPr>
            <w:tcW w:w="6662" w:type="dxa"/>
            <w:gridSpan w:val="2"/>
            <w:vAlign w:val="center"/>
          </w:tcPr>
          <w:p>
            <w:p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hint="eastAsia" w:eastAsia="仿宋_GB2312"/>
                <w:color w:val="0D0D0D"/>
                <w:kern w:val="0"/>
                <w:szCs w:val="21"/>
              </w:rPr>
              <w:t>a）</w:t>
            </w:r>
            <w:r>
              <w:rPr>
                <w:rFonts w:eastAsia="仿宋_GB2312"/>
                <w:color w:val="0D0D0D"/>
                <w:kern w:val="0"/>
                <w:szCs w:val="21"/>
              </w:rPr>
              <w:t>目前虚拟仿真实验教学资源的</w:t>
            </w:r>
            <w:r>
              <w:rPr>
                <w:rFonts w:hint="eastAsia" w:eastAsia="仿宋_GB2312"/>
                <w:color w:val="0D0D0D"/>
                <w:kern w:val="0"/>
                <w:szCs w:val="21"/>
              </w:rPr>
              <w:t>开放</w:t>
            </w:r>
            <w:r>
              <w:rPr>
                <w:rFonts w:eastAsia="仿宋_GB2312"/>
                <w:color w:val="0D0D0D"/>
                <w:kern w:val="0"/>
                <w:szCs w:val="21"/>
              </w:rPr>
              <w:t>共享状况；</w:t>
            </w:r>
          </w:p>
          <w:p>
            <w:p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hint="eastAsia" w:eastAsia="仿宋_GB2312"/>
                <w:color w:val="0D0D0D"/>
                <w:kern w:val="0"/>
                <w:szCs w:val="21"/>
              </w:rPr>
              <w:t>b）</w:t>
            </w:r>
            <w:r>
              <w:rPr>
                <w:rFonts w:eastAsia="仿宋_GB2312"/>
                <w:color w:val="0D0D0D"/>
                <w:kern w:val="0"/>
                <w:szCs w:val="21"/>
              </w:rPr>
              <w:t>进一步实现</w:t>
            </w:r>
            <w:r>
              <w:rPr>
                <w:rFonts w:hint="eastAsia" w:eastAsia="仿宋_GB2312"/>
                <w:color w:val="0D0D0D"/>
                <w:kern w:val="0"/>
                <w:szCs w:val="21"/>
              </w:rPr>
              <w:t>开放</w:t>
            </w:r>
            <w:r>
              <w:rPr>
                <w:rFonts w:eastAsia="仿宋_GB2312"/>
                <w:color w:val="0D0D0D"/>
                <w:kern w:val="0"/>
                <w:szCs w:val="21"/>
              </w:rPr>
              <w:t>共享的计划与安排。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6" w:hRule="atLeast"/>
        </w:trPr>
        <w:tc>
          <w:tcPr>
            <w:tcW w:w="903" w:type="dxa"/>
            <w:vMerge w:val="restart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 w:val="24"/>
              </w:rPr>
              <w:t>实验教学队伍</w:t>
            </w:r>
          </w:p>
        </w:tc>
        <w:tc>
          <w:tcPr>
            <w:tcW w:w="1332" w:type="dxa"/>
            <w:vAlign w:val="center"/>
          </w:tcPr>
          <w:p>
            <w:pPr>
              <w:snapToGrid w:val="0"/>
              <w:spacing w:beforeLines="10" w:afterLines="10"/>
              <w:jc w:val="left"/>
              <w:rPr>
                <w:rFonts w:eastAsia="仿宋_GB2312"/>
                <w:snapToGrid w:val="0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1教师水平</w:t>
            </w:r>
            <w:r>
              <w:rPr>
                <w:rFonts w:eastAsia="仿宋_GB2312"/>
                <w:snapToGrid w:val="0"/>
                <w:color w:val="0D0D0D"/>
                <w:kern w:val="0"/>
                <w:szCs w:val="21"/>
              </w:rPr>
              <w:t>与实验教学水平</w:t>
            </w:r>
          </w:p>
        </w:tc>
        <w:tc>
          <w:tcPr>
            <w:tcW w:w="6662" w:type="dxa"/>
            <w:gridSpan w:val="2"/>
            <w:vAlign w:val="center"/>
          </w:tcPr>
          <w:p>
            <w:pPr>
              <w:numPr>
                <w:ilvl w:val="0"/>
                <w:numId w:val="4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中心负责人与骨干教师的学术水平高；</w:t>
            </w:r>
          </w:p>
          <w:p>
            <w:pPr>
              <w:numPr>
                <w:ilvl w:val="0"/>
                <w:numId w:val="4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教学能力强，实验教学经验丰富，教学特色鲜明。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38" w:hRule="atLeast"/>
        </w:trPr>
        <w:tc>
          <w:tcPr>
            <w:tcW w:w="903" w:type="dxa"/>
            <w:vMerge w:val="continue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snapToGrid w:val="0"/>
              <w:spacing w:beforeLines="10" w:afterLines="10"/>
              <w:jc w:val="left"/>
              <w:rPr>
                <w:rFonts w:eastAsia="仿宋_GB2312"/>
                <w:snapToGrid w:val="0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2</w:t>
            </w:r>
            <w:r>
              <w:rPr>
                <w:rFonts w:eastAsia="仿宋_GB2312"/>
                <w:snapToGrid w:val="0"/>
                <w:color w:val="0D0D0D"/>
                <w:kern w:val="0"/>
                <w:szCs w:val="21"/>
              </w:rPr>
              <w:t>队伍结构与素质</w:t>
            </w:r>
          </w:p>
        </w:tc>
        <w:tc>
          <w:tcPr>
            <w:tcW w:w="6662" w:type="dxa"/>
            <w:gridSpan w:val="2"/>
            <w:vAlign w:val="center"/>
          </w:tcPr>
          <w:p>
            <w:pPr>
              <w:numPr>
                <w:ilvl w:val="0"/>
                <w:numId w:val="5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学科专业教师与信息技术研发人员配置合理；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青年教师的培养计划科学合理，并取得实际效果；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szCs w:val="21"/>
              </w:rPr>
              <w:t>有虚拟仿真实验教学</w:t>
            </w:r>
            <w:r>
              <w:rPr>
                <w:rFonts w:hint="eastAsia" w:eastAsia="仿宋_GB2312"/>
                <w:color w:val="0D0D0D"/>
                <w:szCs w:val="21"/>
              </w:rPr>
              <w:t>中心</w:t>
            </w:r>
            <w:r>
              <w:rPr>
                <w:rFonts w:eastAsia="仿宋_GB2312"/>
                <w:color w:val="0D0D0D"/>
                <w:szCs w:val="21"/>
              </w:rPr>
              <w:t>建设、技术支持和运行维护的专职队伍；</w:t>
            </w:r>
          </w:p>
          <w:p>
            <w:pPr>
              <w:numPr>
                <w:ilvl w:val="0"/>
                <w:numId w:val="5"/>
              </w:numPr>
              <w:snapToGrid w:val="0"/>
              <w:spacing w:beforeLines="10" w:afterLines="10"/>
              <w:rPr>
                <w:rFonts w:eastAsia="仿宋_GB2312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有企业背景的人员参与教学中心建设。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33" w:hRule="atLeast"/>
        </w:trPr>
        <w:tc>
          <w:tcPr>
            <w:tcW w:w="903" w:type="dxa"/>
            <w:vMerge w:val="restart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>管理与共享</w:t>
            </w:r>
            <w:r>
              <w:rPr>
                <w:rFonts w:eastAsia="仿宋_GB2312"/>
                <w:color w:val="0D0D0D"/>
                <w:sz w:val="24"/>
              </w:rPr>
              <w:t>平台</w:t>
            </w:r>
          </w:p>
        </w:tc>
        <w:tc>
          <w:tcPr>
            <w:tcW w:w="1332" w:type="dxa"/>
            <w:vAlign w:val="center"/>
          </w:tcPr>
          <w:p>
            <w:pPr>
              <w:snapToGrid w:val="0"/>
              <w:spacing w:beforeLines="10" w:afterLines="10"/>
              <w:jc w:val="left"/>
              <w:rPr>
                <w:rFonts w:eastAsia="仿宋_GB2312"/>
                <w:snapToGrid w:val="0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1</w:t>
            </w:r>
            <w:r>
              <w:rPr>
                <w:rFonts w:eastAsia="仿宋_GB2312"/>
                <w:snapToGrid w:val="0"/>
                <w:color w:val="0D0D0D"/>
                <w:kern w:val="0"/>
                <w:szCs w:val="21"/>
              </w:rPr>
              <w:t>校园网络及教学信息化平台水平</w:t>
            </w:r>
          </w:p>
        </w:tc>
        <w:tc>
          <w:tcPr>
            <w:tcW w:w="6662" w:type="dxa"/>
            <w:gridSpan w:val="2"/>
            <w:vAlign w:val="center"/>
          </w:tcPr>
          <w:p>
            <w:pPr>
              <w:numPr>
                <w:ilvl w:val="0"/>
                <w:numId w:val="6"/>
              </w:numPr>
              <w:snapToGrid w:val="0"/>
              <w:spacing w:beforeLines="10" w:afterLines="10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szCs w:val="21"/>
              </w:rPr>
              <w:t>有大型存储设备，能够保障网络应用；</w:t>
            </w:r>
          </w:p>
          <w:p>
            <w:pPr>
              <w:numPr>
                <w:ilvl w:val="0"/>
                <w:numId w:val="6"/>
              </w:numPr>
              <w:snapToGrid w:val="0"/>
              <w:spacing w:beforeLines="10" w:afterLines="10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校园门户网站对校内外公布虚拟仿真实验教学信息，提供虚拟仿真实验教学平台链接等相关服务</w:t>
            </w:r>
            <w:r>
              <w:rPr>
                <w:rFonts w:hint="eastAsia" w:eastAsia="仿宋_GB2312"/>
                <w:color w:val="0D0D0D"/>
                <w:szCs w:val="21"/>
              </w:rPr>
              <w:t>；</w:t>
            </w:r>
          </w:p>
          <w:p>
            <w:pPr>
              <w:numPr>
                <w:ilvl w:val="0"/>
                <w:numId w:val="6"/>
              </w:numPr>
              <w:snapToGrid w:val="0"/>
              <w:spacing w:beforeLines="10" w:afterLines="10"/>
              <w:rPr>
                <w:rFonts w:eastAsia="仿宋_GB2312"/>
                <w:color w:val="0D0D0D"/>
                <w:sz w:val="24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具有信息发布、数据收集分析、互动交流、成绩评定、成果展示等功能</w:t>
            </w:r>
            <w:r>
              <w:rPr>
                <w:rFonts w:hint="eastAsia" w:eastAsia="仿宋_GB2312"/>
                <w:color w:val="0D0D0D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8" w:hRule="atLeast"/>
        </w:trPr>
        <w:tc>
          <w:tcPr>
            <w:tcW w:w="903" w:type="dxa"/>
            <w:vMerge w:val="continue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snapToGrid w:val="0"/>
              <w:spacing w:beforeLines="10" w:afterLines="10"/>
              <w:jc w:val="left"/>
              <w:rPr>
                <w:rFonts w:eastAsia="仿宋_GB2312"/>
                <w:snapToGrid w:val="0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2</w:t>
            </w:r>
            <w:r>
              <w:rPr>
                <w:rFonts w:eastAsia="仿宋_GB2312"/>
                <w:snapToGrid w:val="0"/>
                <w:color w:val="0D0D0D"/>
                <w:kern w:val="0"/>
                <w:szCs w:val="21"/>
              </w:rPr>
              <w:t>网络管理与安全</w:t>
            </w:r>
          </w:p>
        </w:tc>
        <w:tc>
          <w:tcPr>
            <w:tcW w:w="6662" w:type="dxa"/>
            <w:gridSpan w:val="2"/>
            <w:vAlign w:val="center"/>
          </w:tcPr>
          <w:p>
            <w:pPr>
              <w:numPr>
                <w:ilvl w:val="0"/>
                <w:numId w:val="7"/>
              </w:numPr>
              <w:snapToGrid w:val="0"/>
              <w:spacing w:beforeLines="10" w:afterLines="10"/>
              <w:rPr>
                <w:rFonts w:eastAsia="仿宋_GB2312"/>
                <w:color w:val="0D0D0D"/>
                <w:szCs w:val="21"/>
              </w:rPr>
            </w:pPr>
            <w:r>
              <w:rPr>
                <w:rFonts w:eastAsia="仿宋_GB2312"/>
                <w:color w:val="0D0D0D"/>
                <w:szCs w:val="21"/>
              </w:rPr>
              <w:t>有用户身份管理、认证和计费管理系统，提供用户认证和权限等级识别；</w:t>
            </w:r>
          </w:p>
          <w:p>
            <w:pPr>
              <w:numPr>
                <w:ilvl w:val="0"/>
                <w:numId w:val="7"/>
              </w:numPr>
              <w:snapToGrid w:val="0"/>
              <w:spacing w:beforeLines="10" w:afterLines="10"/>
              <w:rPr>
                <w:rFonts w:eastAsia="仿宋_GB2312"/>
                <w:color w:val="0D0D0D"/>
                <w:szCs w:val="21"/>
              </w:rPr>
            </w:pPr>
            <w:r>
              <w:rPr>
                <w:rFonts w:eastAsia="仿宋_GB2312"/>
                <w:color w:val="0D0D0D"/>
                <w:szCs w:val="21"/>
              </w:rPr>
              <w:t>具有网络防病毒、信息过滤和入侵检测功能，实现网络的安全运行、管理和维护。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4" w:hRule="atLeast"/>
        </w:trPr>
        <w:tc>
          <w:tcPr>
            <w:tcW w:w="903" w:type="dxa"/>
            <w:vMerge w:val="restart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  <w:r>
              <w:rPr>
                <w:rFonts w:hint="eastAsia" w:eastAsia="仿宋_GB2312"/>
                <w:color w:val="0D0D0D"/>
                <w:sz w:val="24"/>
              </w:rPr>
              <w:t>条件保障</w:t>
            </w:r>
          </w:p>
        </w:tc>
        <w:tc>
          <w:tcPr>
            <w:tcW w:w="1332" w:type="dxa"/>
            <w:vAlign w:val="center"/>
          </w:tcPr>
          <w:p>
            <w:pPr>
              <w:snapToGrid w:val="0"/>
              <w:spacing w:beforeLines="10" w:afterLines="10"/>
              <w:jc w:val="left"/>
              <w:rPr>
                <w:rFonts w:eastAsia="仿宋_GB2312"/>
                <w:snapToGrid w:val="0"/>
                <w:color w:val="0D0D0D"/>
                <w:kern w:val="0"/>
                <w:szCs w:val="21"/>
              </w:rPr>
            </w:pPr>
            <w:r>
              <w:rPr>
                <w:rFonts w:eastAsia="仿宋_GB2312"/>
                <w:snapToGrid w:val="0"/>
                <w:color w:val="0D0D0D"/>
                <w:kern w:val="0"/>
                <w:szCs w:val="21"/>
              </w:rPr>
              <w:t>1</w:t>
            </w:r>
            <w:r>
              <w:rPr>
                <w:rFonts w:hint="eastAsia" w:eastAsia="仿宋_GB2312"/>
                <w:snapToGrid w:val="0"/>
                <w:color w:val="0D0D0D"/>
                <w:kern w:val="0"/>
                <w:szCs w:val="21"/>
              </w:rPr>
              <w:t>基础条件</w:t>
            </w:r>
            <w:r>
              <w:rPr>
                <w:rFonts w:eastAsia="仿宋_GB2312"/>
                <w:snapToGrid w:val="0"/>
                <w:color w:val="0D0D0D"/>
                <w:kern w:val="0"/>
                <w:szCs w:val="21"/>
              </w:rPr>
              <w:t>与管理规范</w:t>
            </w:r>
          </w:p>
        </w:tc>
        <w:tc>
          <w:tcPr>
            <w:tcW w:w="6662" w:type="dxa"/>
            <w:gridSpan w:val="2"/>
            <w:vAlign w:val="center"/>
          </w:tcPr>
          <w:p>
            <w:pPr>
              <w:numPr>
                <w:ilvl w:val="0"/>
                <w:numId w:val="8"/>
              </w:numPr>
              <w:snapToGrid w:val="0"/>
              <w:spacing w:beforeLines="10" w:afterLines="10"/>
              <w:rPr>
                <w:rFonts w:eastAsia="仿宋_GB2312"/>
                <w:color w:val="0D0D0D"/>
                <w:szCs w:val="21"/>
              </w:rPr>
            </w:pPr>
            <w:r>
              <w:rPr>
                <w:rFonts w:hint="eastAsia" w:eastAsia="仿宋_GB2312"/>
                <w:color w:val="0D0D0D"/>
                <w:szCs w:val="21"/>
              </w:rPr>
              <w:t>虚拟仿真实验教学中心基础条件符合教学要求；</w:t>
            </w:r>
          </w:p>
          <w:p>
            <w:pPr>
              <w:numPr>
                <w:ilvl w:val="0"/>
                <w:numId w:val="8"/>
              </w:numPr>
              <w:snapToGrid w:val="0"/>
              <w:spacing w:beforeLines="10" w:afterLines="10"/>
              <w:rPr>
                <w:rFonts w:eastAsia="仿宋_GB2312"/>
                <w:color w:val="0D0D0D"/>
                <w:szCs w:val="21"/>
              </w:rPr>
            </w:pPr>
            <w:r>
              <w:rPr>
                <w:rFonts w:eastAsia="仿宋_GB2312"/>
                <w:color w:val="0D0D0D"/>
                <w:szCs w:val="21"/>
              </w:rPr>
              <w:t>有教学中心专职队伍的管理</w:t>
            </w:r>
            <w:r>
              <w:rPr>
                <w:rFonts w:hint="eastAsia" w:eastAsia="仿宋_GB2312"/>
                <w:color w:val="0D0D0D"/>
                <w:szCs w:val="21"/>
              </w:rPr>
              <w:t>规范</w:t>
            </w:r>
            <w:r>
              <w:rPr>
                <w:rFonts w:eastAsia="仿宋_GB2312"/>
                <w:color w:val="0D0D0D"/>
                <w:szCs w:val="21"/>
              </w:rPr>
              <w:t>；</w:t>
            </w:r>
          </w:p>
          <w:p>
            <w:pPr>
              <w:numPr>
                <w:ilvl w:val="0"/>
                <w:numId w:val="8"/>
              </w:numPr>
              <w:snapToGrid w:val="0"/>
              <w:spacing w:beforeLines="10" w:afterLines="10"/>
              <w:rPr>
                <w:rFonts w:eastAsia="仿宋_GB2312"/>
                <w:color w:val="0D0D0D"/>
                <w:szCs w:val="21"/>
              </w:rPr>
            </w:pPr>
            <w:r>
              <w:rPr>
                <w:rFonts w:hint="eastAsia" w:eastAsia="仿宋_GB2312"/>
                <w:color w:val="0D0D0D"/>
                <w:szCs w:val="21"/>
              </w:rPr>
              <w:t>有教学效果考核、评价和反馈机制；</w:t>
            </w:r>
          </w:p>
          <w:p>
            <w:pPr>
              <w:numPr>
                <w:ilvl w:val="0"/>
                <w:numId w:val="8"/>
              </w:numPr>
              <w:snapToGrid w:val="0"/>
              <w:spacing w:beforeLines="10" w:afterLines="10"/>
              <w:rPr>
                <w:rFonts w:eastAsia="仿宋_GB2312"/>
                <w:color w:val="0D0D0D"/>
                <w:szCs w:val="21"/>
              </w:rPr>
            </w:pPr>
            <w:r>
              <w:rPr>
                <w:rFonts w:eastAsia="仿宋_GB2312"/>
                <w:color w:val="0D0D0D"/>
                <w:szCs w:val="21"/>
              </w:rPr>
              <w:t>有设备运行、维护、更新和管理的相关规</w:t>
            </w:r>
            <w:r>
              <w:rPr>
                <w:rFonts w:eastAsia="仿宋_GB2312"/>
                <w:bCs/>
                <w:color w:val="0D0D0D"/>
                <w:szCs w:val="21"/>
              </w:rPr>
              <w:t>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4" w:hRule="atLeast"/>
        </w:trPr>
        <w:tc>
          <w:tcPr>
            <w:tcW w:w="903" w:type="dxa"/>
            <w:vMerge w:val="continue"/>
            <w:vAlign w:val="center"/>
          </w:tcPr>
          <w:p>
            <w:pPr>
              <w:snapToGrid w:val="0"/>
              <w:spacing w:beforeLines="10" w:afterLines="10"/>
              <w:jc w:val="center"/>
              <w:rPr>
                <w:rFonts w:eastAsia="仿宋_GB2312"/>
                <w:color w:val="0D0D0D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snapToGrid w:val="0"/>
              <w:spacing w:beforeLines="10" w:afterLines="10"/>
              <w:rPr>
                <w:rFonts w:eastAsia="仿宋_GB2312"/>
                <w:snapToGrid w:val="0"/>
                <w:color w:val="0D0D0D"/>
                <w:kern w:val="0"/>
                <w:szCs w:val="21"/>
              </w:rPr>
            </w:pPr>
            <w:r>
              <w:rPr>
                <w:rFonts w:eastAsia="仿宋_GB2312"/>
                <w:color w:val="0D0D0D"/>
                <w:kern w:val="0"/>
                <w:szCs w:val="21"/>
              </w:rPr>
              <w:t>2</w:t>
            </w:r>
            <w:r>
              <w:rPr>
                <w:rFonts w:eastAsia="仿宋_GB2312"/>
                <w:snapToGrid w:val="0"/>
                <w:color w:val="0D0D0D"/>
                <w:kern w:val="0"/>
                <w:szCs w:val="21"/>
              </w:rPr>
              <w:t>资金保障</w:t>
            </w:r>
          </w:p>
        </w:tc>
        <w:tc>
          <w:tcPr>
            <w:tcW w:w="6662" w:type="dxa"/>
            <w:gridSpan w:val="2"/>
            <w:vAlign w:val="center"/>
          </w:tcPr>
          <w:p>
            <w:pPr>
              <w:snapToGrid w:val="0"/>
              <w:spacing w:beforeLines="10" w:afterLines="10"/>
              <w:rPr>
                <w:rFonts w:eastAsia="仿宋_GB2312"/>
                <w:color w:val="0D0D0D"/>
                <w:szCs w:val="21"/>
              </w:rPr>
            </w:pPr>
            <w:r>
              <w:rPr>
                <w:rFonts w:eastAsia="仿宋_GB2312"/>
                <w:color w:val="0D0D0D"/>
                <w:szCs w:val="21"/>
              </w:rPr>
              <w:t>学校有持续稳定的虚拟仿真实验教学建设和管理经费。</w:t>
            </w:r>
          </w:p>
        </w:tc>
      </w:tr>
    </w:tbl>
    <w:p>
      <w:pPr>
        <w:widowControl/>
        <w:shd w:val="clear" w:color="auto" w:fill="FFFFFF"/>
        <w:spacing w:line="20" w:lineRule="exact"/>
        <w:rPr>
          <w:kern w:val="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alibri Light">
    <w:altName w:val="Segoe UI"/>
    <w:panose1 w:val="00000000000000000000"/>
    <w:charset w:val="00"/>
    <w:family w:val="auto"/>
    <w:pitch w:val="default"/>
    <w:sig w:usb0="00000001" w:usb1="4000207B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42464290">
    <w:nsid w:val="50046122"/>
    <w:multiLevelType w:val="multilevel"/>
    <w:tmpl w:val="50046122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13624835">
    <w:nsid w:val="54423403"/>
    <w:multiLevelType w:val="multilevel"/>
    <w:tmpl w:val="54423403"/>
    <w:lvl w:ilvl="0" w:tentative="1">
      <w:start w:val="1"/>
      <w:numFmt w:val="lowerLetter"/>
      <w:lvlText w:val="%1)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299116">
    <w:nsid w:val="01914AEC"/>
    <w:multiLevelType w:val="multilevel"/>
    <w:tmpl w:val="01914AEC"/>
    <w:lvl w:ilvl="0" w:tentative="1">
      <w:start w:val="1"/>
      <w:numFmt w:val="lowerLetter"/>
      <w:lvlText w:val="%1)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2608212">
    <w:nsid w:val="15045FD4"/>
    <w:multiLevelType w:val="multilevel"/>
    <w:tmpl w:val="15045FD4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3123085">
    <w:nsid w:val="2786748D"/>
    <w:multiLevelType w:val="multilevel"/>
    <w:tmpl w:val="2786748D"/>
    <w:lvl w:ilvl="0" w:tentative="1">
      <w:start w:val="1"/>
      <w:numFmt w:val="lowerLetter"/>
      <w:lvlText w:val="%1)"/>
      <w:lvlJc w:val="left"/>
      <w:pPr>
        <w:ind w:left="420" w:hanging="420"/>
      </w:pPr>
      <w:rPr>
        <w:rFonts w:hint="default" w:ascii="Times New Roman" w:hAnsi="Times New Roman" w:cs="Times New Roman"/>
        <w:sz w:val="21"/>
        <w:szCs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6832652">
    <w:nsid w:val="28F03C0C"/>
    <w:multiLevelType w:val="multilevel"/>
    <w:tmpl w:val="28F03C0C"/>
    <w:lvl w:ilvl="0" w:tentative="1">
      <w:start w:val="1"/>
      <w:numFmt w:val="lowerLetter"/>
      <w:lvlText w:val="%1)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44025480">
    <w:nsid w:val="73DF7988"/>
    <w:multiLevelType w:val="multilevel"/>
    <w:tmpl w:val="73DF7988"/>
    <w:lvl w:ilvl="0" w:tentative="1">
      <w:start w:val="1"/>
      <w:numFmt w:val="lowerLetter"/>
      <w:lvlText w:val="%1)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0114614">
    <w:nsid w:val="24F632B6"/>
    <w:multiLevelType w:val="multilevel"/>
    <w:tmpl w:val="24F632B6"/>
    <w:lvl w:ilvl="0" w:tentative="1">
      <w:start w:val="1"/>
      <w:numFmt w:val="lowerLetter"/>
      <w:lvlText w:val="%1)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52608212"/>
  </w:num>
  <w:num w:numId="2">
    <w:abstractNumId w:val="1413624835"/>
  </w:num>
  <w:num w:numId="3">
    <w:abstractNumId w:val="26299116"/>
  </w:num>
  <w:num w:numId="4">
    <w:abstractNumId w:val="1342464290"/>
  </w:num>
  <w:num w:numId="5">
    <w:abstractNumId w:val="686832652"/>
  </w:num>
  <w:num w:numId="6">
    <w:abstractNumId w:val="663123085"/>
  </w:num>
  <w:num w:numId="7">
    <w:abstractNumId w:val="1944025480"/>
  </w:num>
  <w:num w:numId="8">
    <w:abstractNumId w:val="6201146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792</Characters>
  <Lines>6</Lines>
  <Paragraphs>1</Paragraphs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2015-06-08T00:36:00Z</dcterms:created>
  <dc:creator>yongsheng hao</dc:creator>
  <cp:lastModifiedBy>jyt</cp:lastModifiedBy>
  <dcterms:modified xsi:type="dcterms:W3CDTF">2015-07-02T07:18:15Z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