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00" w:lineRule="exact"/>
        <w:jc w:val="center"/>
        <w:rPr>
          <w:rFonts w:hint="eastAsia" w:ascii="方正小标宋简体" w:hAnsi="方正小标宋简体" w:eastAsia="方正小标宋简体" w:cs="方正小标宋简体"/>
          <w:b w:val="0"/>
          <w:bCs/>
          <w:sz w:val="44"/>
          <w:szCs w:val="44"/>
        </w:rPr>
      </w:pPr>
    </w:p>
    <w:p>
      <w:pPr>
        <w:adjustRightInd w:val="0"/>
        <w:snapToGrid w:val="0"/>
        <w:spacing w:after="156" w:afterLines="50" w:line="5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高等学校</w:t>
      </w:r>
      <w:r>
        <w:rPr>
          <w:rFonts w:hint="eastAsia" w:ascii="方正小标宋简体" w:hAnsi="方正小标宋简体" w:eastAsia="方正小标宋简体" w:cs="方正小标宋简体"/>
          <w:b w:val="0"/>
          <w:bCs/>
          <w:sz w:val="44"/>
          <w:szCs w:val="44"/>
          <w:lang w:val="en-US" w:eastAsia="zh-CN"/>
        </w:rPr>
        <w:t>实验室</w:t>
      </w:r>
      <w:r>
        <w:rPr>
          <w:rFonts w:hint="eastAsia" w:ascii="方正小标宋简体" w:hAnsi="方正小标宋简体" w:eastAsia="方正小标宋简体" w:cs="方正小标宋简体"/>
          <w:b w:val="0"/>
          <w:bCs/>
          <w:sz w:val="44"/>
          <w:szCs w:val="44"/>
        </w:rPr>
        <w:t>安全</w:t>
      </w:r>
      <w:r>
        <w:rPr>
          <w:rFonts w:hint="eastAsia" w:ascii="方正小标宋简体" w:hAnsi="方正小标宋简体" w:eastAsia="方正小标宋简体" w:cs="方正小标宋简体"/>
          <w:b w:val="0"/>
          <w:bCs/>
          <w:sz w:val="44"/>
          <w:szCs w:val="44"/>
          <w:lang w:val="en-US" w:eastAsia="zh-CN"/>
        </w:rPr>
        <w:t>检查</w:t>
      </w:r>
      <w:r>
        <w:rPr>
          <w:rFonts w:hint="eastAsia" w:ascii="方正小标宋简体" w:hAnsi="方正小标宋简体" w:eastAsia="方正小标宋简体" w:cs="方正小标宋简体"/>
          <w:b w:val="0"/>
          <w:bCs/>
          <w:sz w:val="44"/>
          <w:szCs w:val="44"/>
        </w:rPr>
        <w:t>项目表</w:t>
      </w:r>
      <w:r>
        <w:rPr>
          <w:rStyle w:val="28"/>
          <w:rFonts w:hint="default" w:ascii="Calibri" w:hAnsi="Calibri" w:eastAsia="方正小标宋简体" w:cs="Calibri"/>
          <w:b w:val="0"/>
          <w:bCs/>
          <w:sz w:val="44"/>
          <w:szCs w:val="44"/>
        </w:rPr>
        <w:footnoteReference w:id="0"/>
      </w:r>
    </w:p>
    <w:p>
      <w:pPr>
        <w:keepNext w:val="0"/>
        <w:keepLines w:val="0"/>
        <w:pageBreakBefore w:val="0"/>
        <w:widowControl w:val="0"/>
        <w:kinsoku/>
        <w:wordWrap/>
        <w:overflowPunct/>
        <w:topLinePunct w:val="0"/>
        <w:autoSpaceDE/>
        <w:autoSpaceDN/>
        <w:bidi w:val="0"/>
        <w:adjustRightInd w:val="0"/>
        <w:snapToGrid w:val="0"/>
        <w:spacing w:after="156" w:afterLines="50" w:line="240" w:lineRule="atLeast"/>
        <w:jc w:val="center"/>
        <w:textAlignment w:val="auto"/>
        <w:rPr>
          <w:rFonts w:hint="eastAsia" w:ascii="方正小标宋简体" w:hAnsi="方正小标宋简体" w:eastAsia="方正小标宋简体" w:cs="方正小标宋简体"/>
          <w:b w:val="0"/>
          <w:bCs/>
          <w:sz w:val="6"/>
          <w:szCs w:val="6"/>
        </w:rPr>
      </w:pPr>
    </w:p>
    <w:tbl>
      <w:tblPr>
        <w:tblStyle w:val="19"/>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613"/>
        <w:gridCol w:w="7536"/>
        <w:gridCol w:w="1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blHeader/>
          <w:jc w:val="center"/>
        </w:trPr>
        <w:tc>
          <w:tcPr>
            <w:tcW w:w="848" w:type="dxa"/>
            <w:tcMar>
              <w:left w:w="45" w:type="dxa"/>
              <w:right w:w="45" w:type="dxa"/>
            </w:tcMar>
            <w:vAlign w:val="center"/>
          </w:tcPr>
          <w:p>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序号</w:t>
            </w:r>
          </w:p>
        </w:tc>
        <w:tc>
          <w:tcPr>
            <w:tcW w:w="4613" w:type="dxa"/>
            <w:tcMar>
              <w:left w:w="45" w:type="dxa"/>
              <w:right w:w="45" w:type="dxa"/>
            </w:tcMar>
            <w:vAlign w:val="center"/>
          </w:tcPr>
          <w:p>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检查项目</w:t>
            </w:r>
          </w:p>
        </w:tc>
        <w:tc>
          <w:tcPr>
            <w:tcW w:w="7536" w:type="dxa"/>
            <w:tcMar>
              <w:left w:w="45" w:type="dxa"/>
              <w:right w:w="45" w:type="dxa"/>
            </w:tcMar>
            <w:vAlign w:val="center"/>
          </w:tcPr>
          <w:p>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检查要点</w:t>
            </w:r>
          </w:p>
        </w:tc>
        <w:tc>
          <w:tcPr>
            <w:tcW w:w="1874" w:type="dxa"/>
            <w:tcMar>
              <w:left w:w="45" w:type="dxa"/>
              <w:right w:w="45" w:type="dxa"/>
            </w:tcMar>
            <w:vAlign w:val="center"/>
          </w:tcPr>
          <w:p>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情况记录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lang w:eastAsia="zh-CN"/>
              </w:rPr>
            </w:pPr>
            <w:r>
              <w:rPr>
                <w:rFonts w:hint="eastAsia" w:ascii="宋体" w:hAnsi="宋体" w:cs="宋体"/>
                <w:b/>
                <w:kern w:val="0"/>
                <w:sz w:val="21"/>
                <w:szCs w:val="21"/>
                <w:lang w:val="en-US" w:eastAsia="zh-CN"/>
              </w:rPr>
              <w:t>1</w:t>
            </w:r>
          </w:p>
        </w:tc>
        <w:tc>
          <w:tcPr>
            <w:tcW w:w="14023" w:type="dxa"/>
            <w:gridSpan w:val="3"/>
            <w:tcMar>
              <w:left w:w="45" w:type="dxa"/>
              <w:right w:w="45" w:type="dxa"/>
            </w:tcMar>
            <w:vAlign w:val="center"/>
          </w:tcPr>
          <w:p>
            <w:pPr>
              <w:widowControl/>
              <w:spacing w:line="240" w:lineRule="auto"/>
              <w:rPr>
                <w:rFonts w:hint="eastAsia" w:ascii="宋体" w:hAnsi="宋体" w:eastAsia="宋体" w:cs="宋体"/>
                <w:b/>
                <w:kern w:val="0"/>
                <w:sz w:val="21"/>
                <w:szCs w:val="21"/>
              </w:rPr>
            </w:pPr>
            <w:r>
              <w:rPr>
                <w:rFonts w:hint="eastAsia" w:ascii="宋体" w:hAnsi="宋体" w:eastAsia="宋体" w:cs="宋体"/>
                <w:b/>
                <w:kern w:val="0"/>
                <w:sz w:val="21"/>
                <w:szCs w:val="21"/>
              </w:rPr>
              <w:t>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1.1</w:t>
            </w:r>
          </w:p>
        </w:tc>
        <w:tc>
          <w:tcPr>
            <w:tcW w:w="14023" w:type="dxa"/>
            <w:gridSpan w:val="3"/>
            <w:tcMar>
              <w:left w:w="45" w:type="dxa"/>
              <w:right w:w="45" w:type="dxa"/>
            </w:tcMar>
            <w:vAlign w:val="center"/>
          </w:tcPr>
          <w:p>
            <w:pPr>
              <w:widowControl/>
              <w:spacing w:line="240" w:lineRule="auto"/>
              <w:rPr>
                <w:rFonts w:hint="eastAsia" w:ascii="宋体" w:hAnsi="宋体" w:eastAsia="宋体" w:cs="宋体"/>
                <w:b/>
                <w:kern w:val="0"/>
                <w:sz w:val="21"/>
                <w:szCs w:val="21"/>
              </w:rPr>
            </w:pPr>
            <w:r>
              <w:rPr>
                <w:rFonts w:hint="eastAsia" w:ascii="宋体" w:hAnsi="宋体" w:eastAsia="宋体" w:cs="宋体"/>
                <w:b/>
                <w:kern w:val="0"/>
                <w:sz w:val="21"/>
                <w:szCs w:val="21"/>
              </w:rPr>
              <w:t>学校层面安全责任体系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1.1.1</w:t>
            </w:r>
          </w:p>
        </w:tc>
        <w:tc>
          <w:tcPr>
            <w:tcW w:w="4613"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kern w:val="0"/>
                <w:sz w:val="21"/>
                <w:szCs w:val="21"/>
                <w:highlight w:val="none"/>
              </w:rPr>
              <w:t>有校级实验室安全工作领导机构</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bCs/>
                <w:kern w:val="0"/>
                <w:sz w:val="21"/>
                <w:szCs w:val="21"/>
              </w:rPr>
              <w:t>有带文号的机构设立文件，明确人员和分工</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1.1.2</w:t>
            </w:r>
          </w:p>
        </w:tc>
        <w:tc>
          <w:tcPr>
            <w:tcW w:w="4613"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kern w:val="0"/>
                <w:sz w:val="21"/>
                <w:szCs w:val="21"/>
              </w:rPr>
              <w:t>有明确的实验室安全管理职能部门</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有实验室安全主管职能部门，与其他相关职能部门分工明确</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1.1.3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学校与院系签订实验室安全管理责任书/告知书</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档案或信息系统里有现任学校领导与院系主管签字盖章的安全责任书/告知书</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1.2</w:t>
            </w:r>
          </w:p>
        </w:tc>
        <w:tc>
          <w:tcPr>
            <w:tcW w:w="14023" w:type="dxa"/>
            <w:gridSpan w:val="3"/>
            <w:tcMar>
              <w:left w:w="45" w:type="dxa"/>
              <w:right w:w="45" w:type="dxa"/>
            </w:tcMar>
            <w:vAlign w:val="center"/>
          </w:tcPr>
          <w:p>
            <w:pPr>
              <w:widowControl/>
              <w:spacing w:line="240" w:lineRule="auto"/>
              <w:rPr>
                <w:rFonts w:hint="eastAsia" w:ascii="宋体" w:hAnsi="宋体" w:eastAsia="宋体" w:cs="宋体"/>
                <w:b/>
                <w:kern w:val="0"/>
                <w:sz w:val="21"/>
                <w:szCs w:val="21"/>
              </w:rPr>
            </w:pPr>
            <w:r>
              <w:rPr>
                <w:rFonts w:hint="eastAsia" w:ascii="宋体" w:hAnsi="宋体" w:eastAsia="宋体" w:cs="宋体"/>
                <w:b/>
                <w:kern w:val="0"/>
                <w:sz w:val="21"/>
                <w:szCs w:val="21"/>
              </w:rPr>
              <w:t>院系层面安全责任体系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1.2.1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二级单位</w:t>
            </w:r>
            <w:r>
              <w:rPr>
                <w:rFonts w:hint="eastAsia" w:ascii="宋体" w:hAnsi="宋体" w:cs="宋体"/>
                <w:kern w:val="0"/>
                <w:sz w:val="21"/>
                <w:szCs w:val="21"/>
                <w:lang w:val="en-US" w:eastAsia="zh-CN"/>
              </w:rPr>
              <w:t>主要负责人</w:t>
            </w:r>
            <w:r>
              <w:rPr>
                <w:rFonts w:hint="eastAsia" w:ascii="宋体" w:hAnsi="宋体" w:eastAsia="宋体" w:cs="宋体"/>
                <w:kern w:val="0"/>
                <w:sz w:val="21"/>
                <w:szCs w:val="21"/>
              </w:rPr>
              <w:t>作为实验室安全工作主要领导责任人</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查院系文件</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1.2.2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成立院系级实验室安全工作领导小组</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由院系主要领导作为负责人，分管实验室安全领导及研究所、</w:t>
            </w:r>
            <w:r>
              <w:rPr>
                <w:rFonts w:hint="eastAsia" w:ascii="宋体" w:hAnsi="宋体" w:eastAsia="宋体" w:cs="宋体"/>
                <w:kern w:val="0"/>
                <w:sz w:val="21"/>
                <w:szCs w:val="21"/>
                <w:lang w:val="en-GB"/>
              </w:rPr>
              <w:t>中心</w:t>
            </w:r>
            <w:r>
              <w:rPr>
                <w:rFonts w:hint="eastAsia" w:ascii="宋体" w:hAnsi="宋体" w:eastAsia="宋体" w:cs="宋体"/>
                <w:kern w:val="0"/>
                <w:sz w:val="21"/>
                <w:szCs w:val="21"/>
              </w:rPr>
              <w:t>、教研室、实验室等负责人参加</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1.2.3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建立院系实验室安全责任体系</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研究所、</w:t>
            </w:r>
            <w:r>
              <w:rPr>
                <w:rFonts w:hint="eastAsia" w:ascii="宋体" w:hAnsi="宋体" w:eastAsia="宋体" w:cs="宋体"/>
                <w:kern w:val="0"/>
                <w:sz w:val="21"/>
                <w:szCs w:val="21"/>
                <w:lang w:val="en-GB"/>
              </w:rPr>
              <w:t>中心</w:t>
            </w:r>
            <w:r>
              <w:rPr>
                <w:rFonts w:hint="eastAsia" w:ascii="宋体" w:hAnsi="宋体" w:eastAsia="宋体" w:cs="宋体"/>
                <w:kern w:val="0"/>
                <w:sz w:val="21"/>
                <w:szCs w:val="21"/>
              </w:rPr>
              <w:t>、教研室、实验室等机构有安全责任人和管理人，查院系发布的文件；</w:t>
            </w:r>
            <w:r>
              <w:rPr>
                <w:rFonts w:hint="eastAsia" w:ascii="宋体" w:hAnsi="宋体" w:eastAsia="宋体" w:cs="宋体"/>
                <w:bCs/>
                <w:kern w:val="0"/>
                <w:sz w:val="21"/>
                <w:szCs w:val="21"/>
              </w:rPr>
              <w:t>查资料或网络管理系统，关注有多校区分布的情况</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1.2.4</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有实验室安全责任书</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签订责任书到实验房间安全责任人，及每一位使用实验室的教师</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eastAsia" w:ascii="宋体" w:hAnsi="宋体" w:eastAsia="宋体" w:cs="宋体"/>
                <w:b/>
                <w:bCs/>
                <w:kern w:val="0"/>
                <w:sz w:val="21"/>
                <w:szCs w:val="21"/>
                <w:lang w:eastAsia="zh-CN"/>
              </w:rPr>
            </w:pPr>
            <w:r>
              <w:rPr>
                <w:rFonts w:hint="eastAsia" w:ascii="宋体" w:hAnsi="宋体" w:eastAsia="宋体" w:cs="宋体"/>
                <w:b/>
                <w:bCs/>
                <w:kern w:val="0"/>
                <w:sz w:val="21"/>
                <w:szCs w:val="21"/>
              </w:rPr>
              <w:t>1.</w:t>
            </w:r>
            <w:r>
              <w:rPr>
                <w:rFonts w:hint="eastAsia" w:ascii="宋体" w:hAnsi="宋体" w:cs="宋体"/>
                <w:b/>
                <w:bCs/>
                <w:kern w:val="0"/>
                <w:sz w:val="21"/>
                <w:szCs w:val="21"/>
                <w:lang w:val="en-US" w:eastAsia="zh-CN"/>
              </w:rPr>
              <w:t>3</w:t>
            </w:r>
          </w:p>
        </w:tc>
        <w:tc>
          <w:tcPr>
            <w:tcW w:w="14023" w:type="dxa"/>
            <w:gridSpan w:val="3"/>
            <w:tcMar>
              <w:left w:w="45" w:type="dxa"/>
              <w:right w:w="45" w:type="dxa"/>
            </w:tcMar>
            <w:vAlign w:val="center"/>
          </w:tcPr>
          <w:p>
            <w:pPr>
              <w:widowControl/>
              <w:spacing w:line="240" w:lineRule="auto"/>
              <w:rPr>
                <w:rFonts w:hint="eastAsia" w:ascii="宋体" w:hAnsi="宋体" w:eastAsia="宋体" w:cs="宋体"/>
                <w:b/>
                <w:bCs/>
                <w:kern w:val="0"/>
                <w:sz w:val="21"/>
                <w:szCs w:val="21"/>
              </w:rPr>
            </w:pPr>
            <w:r>
              <w:rPr>
                <w:rFonts w:hint="eastAsia" w:ascii="宋体" w:hAnsi="宋体" w:eastAsia="宋体" w:cs="宋体"/>
                <w:b/>
                <w:bCs/>
                <w:kern w:val="0"/>
                <w:sz w:val="21"/>
                <w:szCs w:val="21"/>
              </w:rPr>
              <w:t>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3</w:t>
            </w:r>
            <w:r>
              <w:rPr>
                <w:rFonts w:hint="eastAsia" w:ascii="宋体" w:hAnsi="宋体" w:eastAsia="宋体" w:cs="宋体"/>
                <w:kern w:val="0"/>
                <w:sz w:val="21"/>
                <w:szCs w:val="21"/>
              </w:rPr>
              <w:t>.1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学校根据需要配备专职或兼职的实验室安全管理人员</w:t>
            </w:r>
          </w:p>
        </w:tc>
        <w:tc>
          <w:tcPr>
            <w:tcW w:w="7536"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SA"/>
              </w:rPr>
              <w:t>配备专职或兼职的安全管理人员。推进专业安全队伍建设，保障队伍稳定和可持续发展</w:t>
            </w:r>
          </w:p>
        </w:tc>
        <w:tc>
          <w:tcPr>
            <w:tcW w:w="1874"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3</w:t>
            </w:r>
            <w:r>
              <w:rPr>
                <w:rFonts w:hint="eastAsia" w:ascii="宋体" w:hAnsi="宋体" w:eastAsia="宋体" w:cs="宋体"/>
                <w:kern w:val="0"/>
                <w:sz w:val="21"/>
                <w:szCs w:val="21"/>
              </w:rPr>
              <w:t>.2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有实验室安全督查/协查队伍，可以由教师、实验技术人员，也可以利用有相关专业能力的社会力量</w:t>
            </w:r>
          </w:p>
        </w:tc>
        <w:tc>
          <w:tcPr>
            <w:tcW w:w="7536"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eastAsia" w:ascii="宋体" w:hAnsi="宋体" w:eastAsia="宋体" w:cs="宋体"/>
                <w:bCs/>
                <w:kern w:val="0"/>
                <w:sz w:val="21"/>
                <w:szCs w:val="21"/>
                <w:lang w:eastAsia="zh-CN"/>
              </w:rPr>
            </w:pPr>
            <w:r>
              <w:rPr>
                <w:rFonts w:hint="eastAsia" w:ascii="宋体" w:hAnsi="宋体" w:eastAsia="宋体" w:cs="宋体"/>
                <w:bCs/>
                <w:kern w:val="0"/>
                <w:sz w:val="21"/>
                <w:szCs w:val="21"/>
              </w:rPr>
              <w:t>有设立或聘用文件，查工作记录</w:t>
            </w:r>
          </w:p>
        </w:tc>
        <w:tc>
          <w:tcPr>
            <w:tcW w:w="1874"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3</w:t>
            </w:r>
            <w:r>
              <w:rPr>
                <w:rFonts w:hint="eastAsia" w:ascii="宋体" w:hAnsi="宋体" w:eastAsia="宋体" w:cs="宋体"/>
                <w:kern w:val="0"/>
                <w:sz w:val="21"/>
                <w:szCs w:val="21"/>
              </w:rPr>
              <w:t>.3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各级主管实验室安全的负责人、管理人员及技术人员到岗一年内须接受实验室安全培训</w:t>
            </w:r>
            <w:r>
              <w:rPr>
                <w:rFonts w:hint="eastAsia" w:ascii="宋体" w:hAnsi="宋体" w:eastAsia="宋体" w:cs="宋体"/>
                <w:kern w:val="0"/>
                <w:sz w:val="21"/>
                <w:szCs w:val="21"/>
                <w:lang w:eastAsia="zh-CN"/>
              </w:rPr>
              <w:t>。</w:t>
            </w:r>
            <w:r>
              <w:rPr>
                <w:rFonts w:hint="eastAsia" w:ascii="宋体" w:hAnsi="宋体" w:eastAsia="宋体" w:cs="宋体"/>
                <w:bCs/>
                <w:kern w:val="0"/>
                <w:sz w:val="21"/>
                <w:szCs w:val="21"/>
                <w:lang w:val="en-US"/>
              </w:rPr>
              <w:t>从事特殊岗位工作的人员，应具备相应的资格</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eastAsia="zh-CN"/>
              </w:rPr>
            </w:pPr>
            <w:r>
              <w:rPr>
                <w:rFonts w:hint="eastAsia" w:ascii="宋体" w:hAnsi="宋体" w:eastAsia="宋体" w:cs="宋体"/>
                <w:bCs/>
                <w:kern w:val="0"/>
                <w:sz w:val="21"/>
                <w:szCs w:val="21"/>
              </w:rPr>
              <w:t>有培训证书或培训记录</w:t>
            </w:r>
            <w:r>
              <w:rPr>
                <w:rFonts w:hint="eastAsia" w:ascii="宋体" w:hAnsi="宋体" w:eastAsia="宋体" w:cs="宋体"/>
                <w:bCs/>
                <w:kern w:val="0"/>
                <w:sz w:val="21"/>
                <w:szCs w:val="21"/>
                <w:lang w:eastAsia="zh-CN"/>
              </w:rPr>
              <w:t>，</w:t>
            </w:r>
            <w:r>
              <w:rPr>
                <w:rFonts w:hint="eastAsia" w:ascii="宋体" w:hAnsi="宋体" w:eastAsia="宋体" w:cs="宋体"/>
                <w:bCs/>
                <w:kern w:val="0"/>
                <w:sz w:val="21"/>
                <w:szCs w:val="21"/>
                <w:lang w:val="en-US"/>
              </w:rPr>
              <w:t>确保实验室人员具备从事相关工作的能力</w:t>
            </w:r>
          </w:p>
        </w:tc>
        <w:tc>
          <w:tcPr>
            <w:tcW w:w="1874"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r>
    </w:tbl>
    <w:p/>
    <w:p/>
    <w:tbl>
      <w:tblPr>
        <w:tblStyle w:val="19"/>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613"/>
        <w:gridCol w:w="7536"/>
        <w:gridCol w:w="1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lang w:eastAsia="zh-CN"/>
              </w:rPr>
            </w:pPr>
            <w:r>
              <w:rPr>
                <w:rFonts w:hint="eastAsia" w:ascii="宋体" w:hAnsi="宋体" w:eastAsia="宋体" w:cs="宋体"/>
                <w:b/>
                <w:kern w:val="0"/>
                <w:sz w:val="21"/>
                <w:szCs w:val="21"/>
              </w:rPr>
              <w:t>1.</w:t>
            </w:r>
            <w:r>
              <w:rPr>
                <w:rFonts w:hint="eastAsia" w:ascii="宋体" w:hAnsi="宋体" w:cs="宋体"/>
                <w:b/>
                <w:kern w:val="0"/>
                <w:sz w:val="21"/>
                <w:szCs w:val="21"/>
                <w:lang w:val="en-US" w:eastAsia="zh-CN"/>
              </w:rPr>
              <w:t>4</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4</w:t>
            </w:r>
            <w:r>
              <w:rPr>
                <w:rFonts w:hint="eastAsia" w:ascii="宋体" w:hAnsi="宋体" w:eastAsia="宋体" w:cs="宋体"/>
                <w:kern w:val="0"/>
                <w:sz w:val="21"/>
                <w:szCs w:val="21"/>
              </w:rPr>
              <w:t>.</w:t>
            </w:r>
            <w:r>
              <w:rPr>
                <w:rFonts w:hint="eastAsia" w:ascii="宋体" w:hAnsi="宋体" w:cs="宋体"/>
                <w:kern w:val="0"/>
                <w:sz w:val="21"/>
                <w:szCs w:val="21"/>
                <w:lang w:val="en-US" w:eastAsia="zh-CN"/>
              </w:rPr>
              <w:t>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建立实验室安全工作档案</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color w:val="auto"/>
                <w:kern w:val="0"/>
                <w:sz w:val="21"/>
                <w:szCs w:val="21"/>
                <w:highlight w:val="none"/>
              </w:rPr>
              <w:t>包括责任体系、队伍建设、安全制度、奖惩、教育培训、安全检查、隐患整改、事故调查与处理、专业安全、其它相关的常规或阶段性工作归档资料等；档案分类规范合理，便于查找</w:t>
            </w:r>
          </w:p>
        </w:tc>
        <w:tc>
          <w:tcPr>
            <w:tcW w:w="1874"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2</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2.1</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实验室安全管理制度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2.1.1</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有校级实验室安全管理办法</w:t>
            </w:r>
          </w:p>
        </w:tc>
        <w:tc>
          <w:tcPr>
            <w:tcW w:w="7536" w:type="dxa"/>
            <w:vMerge w:val="restart"/>
            <w:tcMar>
              <w:left w:w="45" w:type="dxa"/>
              <w:right w:w="45" w:type="dxa"/>
            </w:tcMar>
            <w:vAlign w:val="center"/>
          </w:tcPr>
          <w:p>
            <w:pPr>
              <w:spacing w:line="240" w:lineRule="auto"/>
              <w:rPr>
                <w:rFonts w:hint="eastAsia" w:ascii="宋体" w:hAnsi="宋体" w:eastAsia="宋体" w:cs="宋体"/>
                <w:bCs/>
                <w:kern w:val="0"/>
                <w:sz w:val="21"/>
                <w:szCs w:val="21"/>
              </w:rPr>
            </w:pPr>
            <w:r>
              <w:rPr>
                <w:rFonts w:hint="eastAsia" w:ascii="宋体" w:hAnsi="宋体" w:eastAsia="宋体" w:cs="宋体"/>
                <w:bCs/>
                <w:color w:val="auto"/>
                <w:kern w:val="0"/>
                <w:sz w:val="21"/>
                <w:szCs w:val="21"/>
                <w:highlight w:val="none"/>
              </w:rPr>
              <w:t>建有校级实验室安全管理总则，建有安全风险评估制度、危险源</w:t>
            </w:r>
            <w:r>
              <w:rPr>
                <w:rStyle w:val="28"/>
                <w:rFonts w:hint="eastAsia" w:ascii="宋体" w:hAnsi="宋体" w:eastAsia="宋体" w:cs="宋体"/>
                <w:bCs/>
                <w:color w:val="auto"/>
                <w:kern w:val="0"/>
                <w:sz w:val="21"/>
                <w:szCs w:val="21"/>
                <w:highlight w:val="none"/>
              </w:rPr>
              <w:footnoteReference w:id="1"/>
            </w:r>
            <w:r>
              <w:rPr>
                <w:rFonts w:hint="eastAsia" w:ascii="宋体" w:hAnsi="宋体" w:eastAsia="宋体" w:cs="宋体"/>
                <w:bCs/>
                <w:color w:val="auto"/>
                <w:kern w:val="0"/>
                <w:sz w:val="21"/>
                <w:szCs w:val="21"/>
                <w:highlight w:val="none"/>
              </w:rPr>
              <w:t>全周期管理制度、实验室安全应急制度、奖惩与问责追责制度和安全准入制度等管理细则；制度文件有学校正式发文号；文件应及时修订更新；文件应具有可操作性或实际管理效用</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2.1.2</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有校级实验室安全管理细则</w:t>
            </w:r>
          </w:p>
        </w:tc>
        <w:tc>
          <w:tcPr>
            <w:tcW w:w="7536" w:type="dxa"/>
            <w:vMerge w:val="continue"/>
            <w:tcMar>
              <w:left w:w="45" w:type="dxa"/>
              <w:right w:w="45" w:type="dxa"/>
            </w:tcMar>
            <w:vAlign w:val="center"/>
          </w:tcPr>
          <w:p>
            <w:pPr>
              <w:spacing w:line="240" w:lineRule="auto"/>
              <w:rPr>
                <w:rFonts w:hint="eastAsia" w:ascii="宋体" w:hAnsi="宋体" w:eastAsia="宋体" w:cs="宋体"/>
                <w:bCs/>
                <w:kern w:val="0"/>
                <w:sz w:val="21"/>
                <w:szCs w:val="21"/>
              </w:rPr>
            </w:pP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2.1.3</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有院系级实验安全管理制度</w:t>
            </w:r>
          </w:p>
        </w:tc>
        <w:tc>
          <w:tcPr>
            <w:tcW w:w="7536" w:type="dxa"/>
            <w:tcMar>
              <w:left w:w="45" w:type="dxa"/>
              <w:right w:w="45" w:type="dxa"/>
            </w:tcMar>
            <w:vAlign w:val="center"/>
          </w:tcPr>
          <w:p>
            <w:pPr>
              <w:spacing w:line="240" w:lineRule="auto"/>
              <w:rPr>
                <w:rFonts w:hint="eastAsia" w:ascii="宋体" w:hAnsi="宋体" w:eastAsia="宋体" w:cs="宋体"/>
                <w:bCs/>
                <w:kern w:val="0"/>
                <w:sz w:val="21"/>
                <w:szCs w:val="21"/>
              </w:rPr>
            </w:pPr>
            <w:r>
              <w:rPr>
                <w:rFonts w:hint="eastAsia" w:ascii="宋体" w:hAnsi="宋体" w:eastAsia="宋体" w:cs="宋体"/>
                <w:bCs/>
                <w:kern w:val="0"/>
                <w:sz w:val="21"/>
                <w:szCs w:val="21"/>
              </w:rPr>
              <w:t>建有院系特色的实验室安全管理制度，包含院系的安全检查、值班值日、实验风险评估、实验室准入、应急预案、安全培训等管理制度；制度文件应有院系发文号，文件应及时修订更新；文件应具有可操作性或实际管理效用</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3</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安全宣传教育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b/>
                <w:kern w:val="0"/>
                <w:sz w:val="21"/>
                <w:szCs w:val="21"/>
                <w:lang w:val="en-US" w:eastAsia="zh-CN"/>
              </w:rPr>
            </w:pPr>
            <w:r>
              <w:rPr>
                <w:rFonts w:hint="eastAsia" w:ascii="宋体" w:hAnsi="宋体" w:cs="宋体"/>
                <w:b/>
                <w:kern w:val="0"/>
                <w:sz w:val="21"/>
                <w:szCs w:val="21"/>
                <w:lang w:val="en-US" w:eastAsia="zh-CN"/>
              </w:rPr>
              <w:t>3.1</w:t>
            </w:r>
          </w:p>
        </w:tc>
        <w:tc>
          <w:tcPr>
            <w:tcW w:w="14023" w:type="dxa"/>
            <w:gridSpan w:val="3"/>
            <w:tcMar>
              <w:left w:w="45" w:type="dxa"/>
              <w:right w:w="45" w:type="dxa"/>
            </w:tcMar>
            <w:vAlign w:val="center"/>
          </w:tcPr>
          <w:p>
            <w:pPr>
              <w:widowControl/>
              <w:spacing w:line="240" w:lineRule="auto"/>
              <w:jc w:val="left"/>
              <w:rPr>
                <w:rFonts w:hint="default" w:ascii="宋体" w:hAnsi="宋体" w:eastAsia="宋体" w:cs="宋体"/>
                <w:b/>
                <w:kern w:val="0"/>
                <w:sz w:val="21"/>
                <w:szCs w:val="21"/>
                <w:lang w:val="en-US" w:eastAsia="zh-CN"/>
              </w:rPr>
            </w:pPr>
            <w:r>
              <w:rPr>
                <w:rFonts w:hint="eastAsia" w:ascii="宋体" w:hAnsi="宋体" w:cs="宋体"/>
                <w:b/>
                <w:kern w:val="0"/>
                <w:sz w:val="21"/>
                <w:szCs w:val="21"/>
                <w:lang w:val="en-US" w:eastAsia="zh-CN"/>
              </w:rPr>
              <w:t>教育培训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bCs/>
                <w:kern w:val="0"/>
                <w:sz w:val="21"/>
                <w:szCs w:val="21"/>
                <w:lang w:val="en-US" w:eastAsia="zh-CN"/>
              </w:rPr>
              <w:t>3.1.1</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实验室应制定相应的安全培训计划，包括但不限于个体防护装备的使用和维护培训、实验室仪器设备相关培训、应急培训，保留培训记录并对培训有效性进行评价，评价合格后方可进入实验室</w:t>
            </w:r>
          </w:p>
        </w:tc>
        <w:tc>
          <w:tcPr>
            <w:tcW w:w="7536" w:type="dxa"/>
            <w:tcMar>
              <w:left w:w="45" w:type="dxa"/>
              <w:right w:w="45" w:type="dxa"/>
            </w:tcMar>
            <w:vAlign w:val="center"/>
          </w:tcPr>
          <w:p>
            <w:pPr>
              <w:widowControl/>
              <w:spacing w:line="240" w:lineRule="auto"/>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查看培训计划，计划内容是否包含以上内容。产培训记录，培训有效性评价合格方可进入实验室。（可现场抽查相关人员）</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3.1.2</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实验室应确保工作人员清楚所从事的工作可能遇到的危险，包括：a）危险源的种类和性质；b）使用的化学品、仪器/设备、环境等的危险特性；c）可能导致的危害及后果；d）应采取的防护措施；e）紧急情况下的应急处置措施</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抽查相关人员对可能遇到危险的了解情况</w:t>
            </w:r>
          </w:p>
        </w:tc>
        <w:tc>
          <w:tcPr>
            <w:tcW w:w="1874" w:type="dxa"/>
            <w:tcMar>
              <w:left w:w="45" w:type="dxa"/>
              <w:right w:w="45" w:type="dxa"/>
            </w:tcMar>
            <w:vAlign w:val="center"/>
          </w:tcPr>
          <w:p>
            <w:pPr>
              <w:spacing w:line="240" w:lineRule="auto"/>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3.1.3</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实验室应确保进入实验室的所有人员（包括外部人员）经过适用的个体防护装备的使用和维护培训、实验室仪器/设备相关培训等并明确实验室安全规定、风险和程序</w:t>
            </w:r>
          </w:p>
          <w:p>
            <w:pPr>
              <w:widowControl/>
              <w:spacing w:line="240" w:lineRule="auto"/>
              <w:jc w:val="left"/>
              <w:rPr>
                <w:rFonts w:hint="eastAsia" w:ascii="宋体" w:hAnsi="宋体" w:eastAsia="宋体" w:cs="宋体"/>
                <w:bCs/>
                <w:kern w:val="0"/>
                <w:sz w:val="21"/>
                <w:szCs w:val="21"/>
                <w:lang w:val="en-US" w:eastAsia="zh-CN" w:bidi="ar-SA"/>
              </w:rPr>
            </w:pPr>
          </w:p>
        </w:tc>
        <w:tc>
          <w:tcPr>
            <w:tcW w:w="7536" w:type="dxa"/>
            <w:tcMar>
              <w:left w:w="45" w:type="dxa"/>
              <w:right w:w="45" w:type="dxa"/>
            </w:tcMar>
            <w:vAlign w:val="center"/>
          </w:tcPr>
          <w:p>
            <w:pPr>
              <w:widowControl/>
              <w:spacing w:line="240" w:lineRule="auto"/>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查培训记录，随机抽查人员</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3.1.4</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对新员工或新生做好“三级”（进入单位、部门/课题组、实验室）安全教育及考核并保存相关记录；岗位/工位/工种调整、长时间歇工后上岗前也应做好相应的安全教育和培训</w:t>
            </w:r>
          </w:p>
        </w:tc>
        <w:tc>
          <w:tcPr>
            <w:tcW w:w="7536"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查花名册、三级教育培训记录</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3.1.</w:t>
            </w:r>
            <w:r>
              <w:rPr>
                <w:rFonts w:hint="eastAsia" w:ascii="宋体" w:hAnsi="宋体" w:cs="宋体"/>
                <w:kern w:val="0"/>
                <w:sz w:val="21"/>
                <w:szCs w:val="21"/>
                <w:lang w:val="en-US" w:eastAsia="zh-CN"/>
              </w:rPr>
              <w:t>5</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组织实验室安全知识考试</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内容包含通识类和各专业学科分类安全知识、安全规范、国家相关法律法规、应急措施</w:t>
            </w:r>
            <w:r>
              <w:rPr>
                <w:rFonts w:hint="eastAsia" w:ascii="宋体" w:hAnsi="宋体" w:eastAsia="宋体" w:cs="宋体"/>
                <w:kern w:val="0"/>
                <w:sz w:val="21"/>
                <w:szCs w:val="21"/>
                <w:lang w:eastAsia="zh-CN"/>
              </w:rPr>
              <w:t>，考试内容应有针对性</w:t>
            </w:r>
            <w:r>
              <w:rPr>
                <w:rFonts w:hint="eastAsia" w:ascii="宋体" w:hAnsi="宋体" w:eastAsia="宋体" w:cs="宋体"/>
                <w:kern w:val="0"/>
                <w:sz w:val="21"/>
                <w:szCs w:val="21"/>
              </w:rPr>
              <w:t>等；从事实验工作的学生、教职工及外来人员均需参加考试，通过者发放合格证书或保留记录</w:t>
            </w:r>
          </w:p>
        </w:tc>
        <w:tc>
          <w:tcPr>
            <w:tcW w:w="1874" w:type="dxa"/>
            <w:tcMar>
              <w:left w:w="45" w:type="dxa"/>
              <w:right w:w="45" w:type="dxa"/>
            </w:tcMar>
            <w:vAlign w:val="center"/>
          </w:tcPr>
          <w:p>
            <w:pPr>
              <w:spacing w:line="240" w:lineRule="auto"/>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4</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4.1</w:t>
            </w:r>
          </w:p>
        </w:tc>
        <w:tc>
          <w:tcPr>
            <w:tcW w:w="14023" w:type="dxa"/>
            <w:gridSpan w:val="3"/>
            <w:tcMar>
              <w:left w:w="45" w:type="dxa"/>
              <w:right w:w="45" w:type="dxa"/>
            </w:tcMar>
            <w:vAlign w:val="center"/>
          </w:tcPr>
          <w:p>
            <w:pPr>
              <w:widowControl/>
              <w:spacing w:line="240" w:lineRule="auto"/>
              <w:jc w:val="left"/>
              <w:rPr>
                <w:rFonts w:hint="default" w:ascii="宋体" w:hAnsi="宋体" w:eastAsia="宋体" w:cs="宋体"/>
                <w:b/>
                <w:bCs/>
                <w:kern w:val="0"/>
                <w:sz w:val="21"/>
                <w:szCs w:val="21"/>
                <w:lang w:val="en-US" w:eastAsia="zh-CN"/>
              </w:rPr>
            </w:pPr>
            <w:r>
              <w:rPr>
                <w:rFonts w:hint="eastAsia" w:ascii="宋体" w:hAnsi="宋体" w:eastAsia="宋体" w:cs="宋体"/>
                <w:b/>
                <w:bCs/>
                <w:kern w:val="0"/>
                <w:sz w:val="21"/>
                <w:szCs w:val="21"/>
              </w:rPr>
              <w:t>危险源辨识</w:t>
            </w:r>
            <w:r>
              <w:rPr>
                <w:rFonts w:hint="eastAsia" w:ascii="宋体" w:hAnsi="宋体" w:cs="宋体"/>
                <w:b/>
                <w:bCs/>
                <w:kern w:val="0"/>
                <w:sz w:val="21"/>
                <w:szCs w:val="21"/>
                <w:lang w:val="en-US" w:eastAsia="zh-CN"/>
              </w:rPr>
              <w:t>及风险管控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4.1.1</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实验室应建立、实施和维持程序，以持续进行危害辨识和风险评估。应对实验室的所有工作进行危害辨识和风险评估</w:t>
            </w:r>
          </w:p>
          <w:p>
            <w:pPr>
              <w:widowControl/>
              <w:spacing w:line="240" w:lineRule="auto"/>
              <w:jc w:val="left"/>
              <w:rPr>
                <w:rFonts w:hint="eastAsia" w:ascii="宋体" w:hAnsi="宋体" w:eastAsia="宋体" w:cs="宋体"/>
                <w:bCs/>
                <w:kern w:val="0"/>
                <w:sz w:val="21"/>
                <w:szCs w:val="21"/>
                <w:lang w:val="en-US" w:eastAsia="zh-CN" w:bidi="ar-SA"/>
              </w:rPr>
            </w:pPr>
          </w:p>
        </w:tc>
        <w:tc>
          <w:tcPr>
            <w:tcW w:w="7536"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1）实验室应系统识别实验室活动所有阶段可预见的危险源，识别所有与各类活动相关的可预见的危险，如机械、电气、高温、低温、火灾、噪声、毒物、辐射、化学等危险；或与任务不直接相关的可预见的危险，如实验室突然停电、停水、自然灾害等特殊状态下的安全。</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（2）实验室应从化学品、人员、仪器/设备、环境、设施等方面进行危险源辨识。</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（3） 风险评估应考虑（但不限于）以下内容：</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a）常规和非常规活动，包括新引入的化学品危害及安全措施、新开放或引入的化学反应或工艺等；</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b）正常工作时间和正常工作时间之外所进行的活动；</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c）所有进入实验室的人员的活动；</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d）人员因素，包括行为、能力、身体状况、可能影响工作的压力等；</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e）源自工作场所外的活动，对实验室内人员的健康产生的不利影响；</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f）工作场所附近，相邻区域的实验室相关活动对其产生的风险；</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g）工作场所的设施、设备和材料，无论是本实验室还是外界提供的；</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h）实验室功能、活动、材料、设备、环境、人员、相关要求等发生变化；</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i）安全管理体系的更改，涉及对运行、过程和活动的影响；</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j）任何与风险评估和必要的控制措施实施相关的法定要求；</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k）实验室结构和布局、区域功能、设备安装、运行程序和组织结果，以及人员的适应性；</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l）本实验室或相关实验室已发生的安全事故。</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（4）发生以下情况时，应重新进行风险评估：</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a）采用新的设备、材料、方法、环境、人员发生变化或改变实验室结构的功能时；</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b）包括物质存储或使用的实验室分区执行的任务发生改变之前；</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c）变更工作流程时；</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d）发生事故后</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4.1.</w:t>
            </w:r>
            <w:r>
              <w:rPr>
                <w:rFonts w:hint="eastAsia" w:ascii="宋体" w:hAnsi="宋体" w:eastAsia="宋体" w:cs="宋体"/>
                <w:kern w:val="0"/>
                <w:sz w:val="21"/>
                <w:szCs w:val="21"/>
                <w:lang w:val="en-US" w:eastAsia="zh-CN"/>
              </w:rPr>
              <w:t>2</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学校、院系层面建立危险源分布清单</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清单内容需包括单位、房间、类别、数量、责任人等信息</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4.1.</w:t>
            </w:r>
            <w:r>
              <w:rPr>
                <w:rFonts w:hint="eastAsia" w:ascii="宋体" w:hAnsi="宋体" w:cs="宋体"/>
                <w:kern w:val="0"/>
                <w:sz w:val="21"/>
                <w:szCs w:val="21"/>
                <w:lang w:val="en-US" w:eastAsia="zh-CN"/>
              </w:rPr>
              <w:t>3</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涉及危险源的实验场所，应有明确的警示标识</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涉及危化品、放射性同位素、强磁等高危场所，有显著明确的警示标识</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4.1.</w:t>
            </w:r>
            <w:r>
              <w:rPr>
                <w:rFonts w:hint="eastAsia" w:ascii="宋体" w:hAnsi="宋体" w:cs="宋体"/>
                <w:kern w:val="0"/>
                <w:sz w:val="21"/>
                <w:szCs w:val="21"/>
                <w:lang w:val="en-US" w:eastAsia="zh-CN"/>
              </w:rPr>
              <w:t>4</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建立针对重要危险源</w:t>
            </w:r>
            <w:r>
              <w:rPr>
                <w:rStyle w:val="28"/>
                <w:rFonts w:hint="eastAsia" w:ascii="宋体" w:hAnsi="宋体" w:eastAsia="宋体" w:cs="宋体"/>
                <w:bCs/>
                <w:kern w:val="0"/>
                <w:sz w:val="21"/>
                <w:szCs w:val="21"/>
              </w:rPr>
              <w:footnoteReference w:id="2"/>
            </w:r>
            <w:r>
              <w:rPr>
                <w:rFonts w:hint="eastAsia" w:ascii="宋体" w:hAnsi="宋体" w:eastAsia="宋体" w:cs="宋体"/>
                <w:bCs/>
                <w:kern w:val="0"/>
                <w:sz w:val="21"/>
                <w:szCs w:val="21"/>
              </w:rPr>
              <w:t>的风险评估和应急管控方案</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rPr>
            </w:pPr>
            <w:r>
              <w:rPr>
                <w:rFonts w:hint="eastAsia" w:ascii="宋体" w:hAnsi="宋体" w:eastAsia="宋体" w:cs="宋体"/>
                <w:bCs/>
                <w:kern w:val="0"/>
                <w:sz w:val="21"/>
                <w:szCs w:val="21"/>
              </w:rPr>
              <w:t>由实验室建立，报院系备案，检查院系文件</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4.1.5</w:t>
            </w:r>
          </w:p>
          <w:p>
            <w:pPr>
              <w:widowControl/>
              <w:spacing w:line="240" w:lineRule="auto"/>
              <w:jc w:val="left"/>
              <w:rPr>
                <w:rFonts w:hint="eastAsia" w:ascii="宋体" w:hAnsi="宋体" w:eastAsia="宋体" w:cs="宋体"/>
                <w:kern w:val="0"/>
                <w:sz w:val="21"/>
                <w:szCs w:val="21"/>
              </w:rPr>
            </w:pP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 xml:space="preserve"> 风险管控通用要求</w:t>
            </w:r>
          </w:p>
        </w:tc>
        <w:tc>
          <w:tcPr>
            <w:tcW w:w="7536"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（1） 实验室内严禁饮食，严禁吸烟。</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（2）实验室特定区域如化学品存放处、易燃易爆物品存放处、气瓶存放处等严禁烟火。</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（3） 实验室应配备足够、有效且适用的个体防护装备，包括但不限于：实验服、护目镜、防护面罩、防护口罩、防毒面具、安全帽、防护手套；个体防护装备的配备要求和选用规范应分别参照GB/T29510-2013和GB/T11651-2008。</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4）实验人员应按规定穿戴防护服、长裤、手套、护目镜、口罩等必要的防护用具，在有化学品沾染或转动部件卷入风险的情况下长发应盘发或带帽，不得穿高跟鞋、凉鞋、拖鞋、短裤、短裙等露手腕、脚踝部位的衣服进入实验室。</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（5）危险物品和设备不得放于走廊上。</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（6）实验室所有人员均应明确所在岗位所必需的防护。</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（7）实验室公共区域应配备必需的防护设施和设备。</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（8</w:t>
            </w:r>
            <w:r>
              <w:rPr>
                <w:rFonts w:hint="eastAsia" w:cs="宋体"/>
                <w:bCs/>
                <w:kern w:val="0"/>
                <w:sz w:val="21"/>
                <w:szCs w:val="21"/>
                <w:lang w:val="en-US" w:eastAsia="zh-CN" w:bidi="ar-SA"/>
              </w:rPr>
              <w:t>）</w:t>
            </w:r>
            <w:r>
              <w:rPr>
                <w:rFonts w:hint="eastAsia" w:ascii="宋体" w:hAnsi="宋体" w:eastAsia="宋体" w:cs="宋体"/>
                <w:bCs/>
                <w:kern w:val="0"/>
                <w:sz w:val="21"/>
                <w:szCs w:val="21"/>
                <w:lang w:val="en-US" w:eastAsia="zh-CN" w:bidi="ar-SA"/>
              </w:rPr>
              <w:t>实验室现场人员包括本单位、外访、供应商等在所有工作时间正确穿戴个体防护装备。</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（9）所有物品使用完后应放回指定储存或回收位置</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4.1.6</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化学品风险管控</w:t>
            </w:r>
          </w:p>
        </w:tc>
        <w:tc>
          <w:tcPr>
            <w:tcW w:w="7536"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（1）使用化学品时，应按化学品的危害程度，选择合适的个体防护装备。</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（2）化学品的移取、称量、操作应根据其危害性在通风橱、平衡通风罩（VBE）、手套箱内或特定的区域进行。</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（3）使用易燃、易爆气体的房间，应根据气体可燃性或危险性安装相应的可燃气体报警器</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4.1.7</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玻璃器具风险管控</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（1）不同种类的玻璃器具应分类存放，不得与其他物品混放，存放处的外壁应有标签写明种类和数量。</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（2）所有玻璃器具使用时，应选择合适的个体防护装备。</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（3）玻璃器具被加热时，应有防护板或隔离板。</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（4）使用明火加热或电炉直接加热玻璃容器时，应有透明保护罩或戴防护罩。</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（5）明火或电炉不能加热装有机物的敞口玻璃容器</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p>
          <w:p>
            <w:pPr>
              <w:widowControl/>
              <w:spacing w:line="240" w:lineRule="auto"/>
              <w:jc w:val="left"/>
              <w:rPr>
                <w:rFonts w:hint="default" w:ascii="宋体" w:hAnsi="宋体" w:eastAsia="宋体" w:cs="宋体"/>
                <w:bCs/>
                <w:kern w:val="0"/>
                <w:sz w:val="21"/>
                <w:szCs w:val="21"/>
                <w:lang w:val="en-US" w:eastAsia="zh-CN" w:bidi="ar-SA"/>
              </w:rPr>
            </w:pPr>
            <w:r>
              <w:rPr>
                <w:rFonts w:hint="eastAsia" w:ascii="宋体" w:hAnsi="宋体" w:cs="宋体"/>
                <w:bCs/>
                <w:kern w:val="0"/>
                <w:sz w:val="21"/>
                <w:szCs w:val="21"/>
                <w:lang w:val="en-US" w:eastAsia="zh-CN" w:bidi="ar-SA"/>
              </w:rPr>
              <w:t>4.1.8</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仪器/设备风险管控</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（1）反应器、分离等金属设备的取样口、连接口等部位应有防护板。</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（2）有马达、皮带轮、轴承等转动部件，应有封闭金属防护网或防护罩。</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（3）仪器/设备操作时，应根据需要选择合适的个体防护装</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cs="宋体"/>
                <w:bCs/>
                <w:kern w:val="0"/>
                <w:sz w:val="21"/>
                <w:szCs w:val="21"/>
                <w:highlight w:val="yellow"/>
                <w:lang w:val="en-US" w:eastAsia="zh-CN" w:bidi="ar-SA"/>
              </w:rPr>
            </w:pPr>
            <w:r>
              <w:rPr>
                <w:rFonts w:hint="eastAsia" w:ascii="宋体" w:hAnsi="宋体" w:eastAsia="宋体" w:cs="宋体"/>
                <w:bCs/>
                <w:kern w:val="0"/>
                <w:sz w:val="21"/>
                <w:szCs w:val="21"/>
                <w:lang w:val="en-US" w:eastAsia="zh-CN" w:bidi="ar-SA"/>
              </w:rPr>
              <w:t>4.1.9</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 xml:space="preserve"> 实验室废弃物风险管控</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（1）实验室产生的废弃物应分类统一收集、管理，并由有处理资质的单位进行处理。</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（2）实验室废弃化学品应按照GB/T31190-2014的要求进行分类、收集、贮存、日常管理等。</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（3） 实验室危险废物应按照GB18597-2001、HJ2025-2012的要求进行收集、贮存和处置等。</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（4）实验室应编制废弃物收集的相关作业指导书，并保留废弃物收集、转运与处理记录。</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（5）废液和废化学品应按照性质，用无破损且不会被废液腐蚀、溶解/溶胀的容器进行收集。瓶上应有废液标签，标明废液成分、组成、质量或体积、酸碱性、危害性、日期等信息。</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（6）固体废弃物应包装好后粘贴废弃物标签，明确固体物成分、组成、质量、危害性、日期等信息。</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（7）实验室产生的有毒、有害废气，应采取有效措施进行处理，达标后排放。</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8）在实验室内处理有毒、有害、不稳定化学品、自燃化学品、氧化物等危险化学品之前应对处理的方法进行安全评估，并编制专项处置方案和应急预案，确保处理过程安全可控，处理人员应严格按照处理方法进行操作。</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（9） 泄漏或渗漏危险化学品的包装容器应放置在合适的托盘或容器内迅速移至安全区域进行处理。</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（10） 实验室废弃物存放处应有明显标识。</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11）下述（不仅限于）所列的废液不应互相混合：a）过氧化物与有机物；b）氰化物、硫化物、次氯酸盐与酸；c）盐酸、氢氟酸等挥发性酸与不挥发性酸；d）浓硫酸、磺酸、羟基酸、聚磷酸等酸类与其它的酸；e）铵盐、挥发性胺与碱。</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（12） 应设置专门的尖锐物回收盒收集废弃的尖利物品，如：针头、刀片、破碎玻璃器皿或仪器等。</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（13）应予以处理的废液的最低浓度、收集分类及处理方法见附录B</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4.1.10</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其他风险管控</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（1）对于产生噪声危害的设备，应进行降噪处理，操作人员应进行听力防护。</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（2）使用危险性、腐蚀性、可燃性气体房间，未经许可不应使用明火或电炉加热。</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（3）实验室应配备紧急医疗用品急救药箱，包括但不限于：创可贴、碘伏、棉签、绷带、止血带等临时医疗用品；如果使用氢氟酸（HF），还应配备葡萄糖酸钙凝胶（解毒剂），经医护人员培训指导后使用。</w:t>
            </w:r>
          </w:p>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（4）实验室应根据风险评估的结果，结合从相关的MSDS、GB/T29510和GB/T116518中获取的信息，决定是否需要使用额外的或更专业化的个体防护装备，如隔绝式呼吸器等</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4.2</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4.2.1</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学校层面开展定期/不定期检查</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每年不少于4次（每季度至少一次），并记录存档</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4.2.2</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院系层面开展定期检查</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每月不少于1次，并记录存档</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4.2.3</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实验室应当进行每日防火巡查，并确定巡查的人员、内容、部位和频次</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查看巡查记录</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4.2.</w:t>
            </w:r>
            <w:r>
              <w:rPr>
                <w:rFonts w:hint="eastAsia" w:ascii="宋体" w:hAnsi="宋体" w:cs="宋体"/>
                <w:kern w:val="0"/>
                <w:sz w:val="21"/>
                <w:szCs w:val="21"/>
                <w:lang w:val="en-US" w:eastAsia="zh-CN"/>
              </w:rPr>
              <w:t>4</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针对高危实验物品开展专项检查</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针对管制化学品、放射源等，开展定期专项检查</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4.2.</w:t>
            </w:r>
            <w:r>
              <w:rPr>
                <w:rFonts w:hint="eastAsia" w:ascii="宋体" w:hAnsi="宋体" w:cs="宋体"/>
                <w:kern w:val="0"/>
                <w:sz w:val="21"/>
                <w:szCs w:val="21"/>
                <w:lang w:val="en-US" w:eastAsia="zh-CN"/>
              </w:rPr>
              <w:t>5</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实验室房间须建立自检自查台账</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每天最后离开的人</w:t>
            </w:r>
            <w:r>
              <w:rPr>
                <w:rFonts w:hint="eastAsia" w:ascii="宋体" w:hAnsi="宋体" w:eastAsia="宋体" w:cs="宋体"/>
                <w:bCs/>
                <w:kern w:val="0"/>
                <w:sz w:val="21"/>
                <w:szCs w:val="21"/>
              </w:rPr>
              <w:t>检查水电气门窗等，并留存记录</w:t>
            </w:r>
          </w:p>
        </w:tc>
        <w:tc>
          <w:tcPr>
            <w:tcW w:w="1874" w:type="dxa"/>
            <w:tcMar>
              <w:left w:w="45" w:type="dxa"/>
              <w:right w:w="45" w:type="dxa"/>
            </w:tcMar>
            <w:vAlign w:val="center"/>
          </w:tcPr>
          <w:p>
            <w:pPr>
              <w:pStyle w:val="6"/>
              <w:spacing w:line="240" w:lineRule="auto"/>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4.3</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安全隐患整改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4.3.1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lang w:eastAsia="zh-CN"/>
              </w:rPr>
              <w:t>学校</w:t>
            </w:r>
            <w:r>
              <w:rPr>
                <w:rFonts w:hint="eastAsia" w:ascii="宋体" w:hAnsi="宋体" w:eastAsia="宋体" w:cs="宋体"/>
                <w:kern w:val="0"/>
                <w:sz w:val="21"/>
                <w:szCs w:val="21"/>
              </w:rPr>
              <w:t>检查中发现的问题应以正式形式通知到相关负责人</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通知的方式包括校网上公告、实验室安全简报、书面或电子的整改通知书等形式。其中整改通知书要包含问题描述、整改要求和期限等，并由被查院系单位签收；对整改资料进行规范存档</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4.3.2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院系应对问题隐患进行及时整改</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整改报告应在规定时间内提交学校管理部门，并归档；如存在重大隐患，实验室应立即停止实验活动，采取相应防范措施或整改完成后方能恢复实验</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bCs/>
                <w:kern w:val="0"/>
                <w:sz w:val="21"/>
                <w:szCs w:val="21"/>
                <w:lang w:val="en-US" w:eastAsia="zh-CN"/>
              </w:rPr>
            </w:pPr>
            <w:r>
              <w:rPr>
                <w:rFonts w:hint="eastAsia" w:ascii="宋体" w:hAnsi="宋体" w:eastAsia="宋体" w:cs="宋体"/>
                <w:bCs/>
                <w:kern w:val="0"/>
                <w:sz w:val="21"/>
                <w:szCs w:val="21"/>
                <w:lang w:val="en-US" w:eastAsia="zh-CN"/>
              </w:rPr>
              <w:t>4.3.3</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rPr>
            </w:pPr>
            <w:r>
              <w:rPr>
                <w:rFonts w:hint="eastAsia" w:ascii="宋体" w:hAnsi="宋体" w:eastAsia="宋体" w:cs="宋体"/>
                <w:bCs/>
                <w:kern w:val="0"/>
                <w:sz w:val="21"/>
                <w:szCs w:val="21"/>
                <w:lang w:val="en-US" w:eastAsia="zh-CN"/>
              </w:rPr>
              <w:t>实验室的检查、巡查人员发现的隐患，应当责成有关人员改正并督促落实</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rPr>
            </w:pPr>
            <w:r>
              <w:rPr>
                <w:rFonts w:hint="eastAsia" w:ascii="宋体" w:hAnsi="宋体" w:eastAsia="宋体" w:cs="宋体"/>
                <w:bCs/>
                <w:kern w:val="0"/>
                <w:sz w:val="21"/>
                <w:szCs w:val="21"/>
                <w:lang w:val="en-US" w:eastAsia="zh-CN"/>
              </w:rPr>
              <w:t>查看巡检记录。对不能及时消除的隐患，实验室应当及时向学校及相关单位的消防安全责任人或者消防安全工作主管领导报告，提出整改方案，确定整改措施、期限以及负责整改的部门、人员，并落实整改资金。隐患未消除的，实验室应当落实防范措施，保障安全。对于随时可能引发严重危及人身安全财产损失的，应当将危险部位停止使用或停业整改</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4.4</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安全报告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4.4.1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学校有定期/不定期</w:t>
            </w:r>
            <w:r>
              <w:rPr>
                <w:rFonts w:hint="eastAsia" w:ascii="宋体" w:hAnsi="宋体" w:eastAsia="宋体" w:cs="宋体"/>
                <w:bCs/>
                <w:kern w:val="0"/>
                <w:sz w:val="21"/>
                <w:szCs w:val="21"/>
              </w:rPr>
              <w:t>的</w:t>
            </w:r>
            <w:r>
              <w:rPr>
                <w:rFonts w:hint="eastAsia" w:ascii="宋体" w:hAnsi="宋体" w:eastAsia="宋体" w:cs="宋体"/>
                <w:kern w:val="0"/>
                <w:sz w:val="21"/>
                <w:szCs w:val="21"/>
              </w:rPr>
              <w:t>安全检查通报</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查看相关资料或电子文档</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4.4.2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院系有安全检查及整改记录</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查看相关资料或电子文档</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5</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实验场所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eastAsia" w:ascii="宋体" w:hAnsi="宋体" w:eastAsia="宋体" w:cs="宋体"/>
                <w:b/>
                <w:kern w:val="0"/>
                <w:sz w:val="21"/>
                <w:szCs w:val="21"/>
              </w:rPr>
            </w:pPr>
            <w:r>
              <w:rPr>
                <w:rFonts w:hint="eastAsia" w:ascii="宋体" w:hAnsi="宋体" w:eastAsia="宋体" w:cs="宋体"/>
                <w:b/>
                <w:kern w:val="0"/>
                <w:sz w:val="21"/>
                <w:szCs w:val="21"/>
              </w:rPr>
              <w:t>5.1</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场所环境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bCs/>
                <w:kern w:val="0"/>
                <w:sz w:val="21"/>
                <w:szCs w:val="21"/>
                <w:lang w:val="en-US" w:eastAsia="zh-CN"/>
              </w:rPr>
            </w:pPr>
            <w:r>
              <w:rPr>
                <w:rFonts w:hint="eastAsia" w:ascii="宋体" w:hAnsi="宋体" w:eastAsia="宋体" w:cs="宋体"/>
                <w:bCs/>
                <w:kern w:val="0"/>
                <w:sz w:val="21"/>
                <w:szCs w:val="21"/>
                <w:lang w:val="en-US" w:eastAsia="zh-CN"/>
              </w:rPr>
              <w:t>5.1.1</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rPr>
            </w:pPr>
            <w:r>
              <w:rPr>
                <w:rFonts w:hint="eastAsia" w:ascii="宋体" w:hAnsi="宋体" w:eastAsia="宋体" w:cs="宋体"/>
                <w:bCs/>
                <w:kern w:val="0"/>
                <w:sz w:val="21"/>
                <w:szCs w:val="21"/>
                <w:lang w:val="en-US" w:eastAsia="zh-CN"/>
              </w:rPr>
              <w:t xml:space="preserve"> 使用或储存有危险化学品的科研建筑布局，应符合《</w:t>
            </w:r>
            <w:r>
              <w:rPr>
                <w:rFonts w:hint="eastAsia" w:ascii="宋体" w:hAnsi="宋体" w:eastAsia="宋体" w:cs="宋体"/>
                <w:bCs/>
                <w:kern w:val="0"/>
                <w:sz w:val="21"/>
                <w:szCs w:val="21"/>
                <w:lang w:val="en-US" w:eastAsia="zh-CN"/>
              </w:rPr>
              <w:fldChar w:fldCharType="begin"/>
            </w:r>
            <w:r>
              <w:rPr>
                <w:rFonts w:hint="eastAsia" w:ascii="宋体" w:hAnsi="宋体" w:eastAsia="宋体" w:cs="宋体"/>
                <w:bCs/>
                <w:kern w:val="0"/>
                <w:sz w:val="21"/>
                <w:szCs w:val="21"/>
                <w:lang w:val="en-US" w:eastAsia="zh-CN"/>
              </w:rPr>
              <w:instrText xml:space="preserve"> HYPERLINK "http://www.jianbiaoku.com/webarbs/book/12613/4118937.shtml" \t "http://www.jianbiaoku.com/webarbs/book/12613/_self" </w:instrText>
            </w:r>
            <w:r>
              <w:rPr>
                <w:rFonts w:hint="eastAsia" w:ascii="宋体" w:hAnsi="宋体" w:eastAsia="宋体" w:cs="宋体"/>
                <w:bCs/>
                <w:kern w:val="0"/>
                <w:sz w:val="21"/>
                <w:szCs w:val="21"/>
                <w:lang w:val="en-US" w:eastAsia="zh-CN"/>
              </w:rPr>
              <w:fldChar w:fldCharType="separate"/>
            </w:r>
            <w:r>
              <w:rPr>
                <w:rFonts w:hint="eastAsia" w:ascii="宋体" w:hAnsi="宋体" w:eastAsia="宋体" w:cs="宋体"/>
                <w:bCs/>
                <w:kern w:val="0"/>
                <w:sz w:val="21"/>
                <w:szCs w:val="21"/>
                <w:lang w:val="en-US" w:eastAsia="zh-CN"/>
              </w:rPr>
              <w:t>科研建筑设计标准</w:t>
            </w:r>
            <w:r>
              <w:rPr>
                <w:rFonts w:hint="eastAsia" w:ascii="宋体" w:hAnsi="宋体" w:eastAsia="宋体" w:cs="宋体"/>
                <w:bCs/>
                <w:kern w:val="0"/>
                <w:sz w:val="21"/>
                <w:szCs w:val="21"/>
                <w:lang w:val="en-US" w:eastAsia="zh-CN"/>
              </w:rPr>
              <w:fldChar w:fldCharType="end"/>
            </w:r>
            <w:r>
              <w:rPr>
                <w:rFonts w:hint="eastAsia" w:ascii="宋体" w:hAnsi="宋体" w:eastAsia="宋体" w:cs="宋体"/>
                <w:bCs/>
                <w:kern w:val="0"/>
                <w:sz w:val="21"/>
                <w:szCs w:val="21"/>
                <w:lang w:val="en-US" w:eastAsia="zh-CN"/>
              </w:rPr>
              <w:t>》</w:t>
            </w:r>
            <w:r>
              <w:rPr>
                <w:rFonts w:hint="eastAsia" w:ascii="宋体" w:hAnsi="宋体" w:eastAsia="宋体" w:cs="宋体"/>
                <w:bCs/>
                <w:kern w:val="0"/>
                <w:sz w:val="21"/>
                <w:szCs w:val="21"/>
                <w:lang w:val="en-US" w:eastAsia="zh-CN"/>
              </w:rPr>
              <w:fldChar w:fldCharType="begin"/>
            </w:r>
            <w:r>
              <w:rPr>
                <w:rFonts w:hint="eastAsia" w:ascii="宋体" w:hAnsi="宋体" w:eastAsia="宋体" w:cs="宋体"/>
                <w:bCs/>
                <w:kern w:val="0"/>
                <w:sz w:val="21"/>
                <w:szCs w:val="21"/>
                <w:lang w:val="en-US" w:eastAsia="zh-CN"/>
              </w:rPr>
              <w:instrText xml:space="preserve"> HYPERLINK "http://www.jianbiaoku.com/webarbs/book/12613/4118937.shtml" \t "http://www.jianbiaoku.com/webarbs/book/12613/_self" </w:instrText>
            </w:r>
            <w:r>
              <w:rPr>
                <w:rFonts w:hint="eastAsia" w:ascii="宋体" w:hAnsi="宋体" w:eastAsia="宋体" w:cs="宋体"/>
                <w:bCs/>
                <w:kern w:val="0"/>
                <w:sz w:val="21"/>
                <w:szCs w:val="21"/>
                <w:lang w:val="en-US" w:eastAsia="zh-CN"/>
              </w:rPr>
              <w:fldChar w:fldCharType="separate"/>
            </w:r>
            <w:r>
              <w:rPr>
                <w:rFonts w:hint="eastAsia" w:ascii="宋体" w:hAnsi="宋体" w:eastAsia="宋体" w:cs="宋体"/>
                <w:bCs/>
                <w:kern w:val="0"/>
                <w:sz w:val="21"/>
                <w:szCs w:val="21"/>
                <w:lang w:val="en-US" w:eastAsia="zh-CN"/>
              </w:rPr>
              <w:t>JGJ91</w:t>
            </w:r>
            <w:r>
              <w:rPr>
                <w:rFonts w:hint="eastAsia" w:ascii="宋体" w:hAnsi="宋体" w:eastAsia="宋体" w:cs="宋体"/>
                <w:bCs/>
                <w:kern w:val="0"/>
                <w:sz w:val="21"/>
                <w:szCs w:val="21"/>
                <w:lang w:val="en-US" w:eastAsia="zh-CN"/>
              </w:rPr>
              <w:fldChar w:fldCharType="end"/>
            </w:r>
            <w:r>
              <w:rPr>
                <w:rFonts w:hint="eastAsia" w:ascii="宋体" w:hAnsi="宋体" w:eastAsia="宋体" w:cs="宋体"/>
                <w:bCs/>
                <w:kern w:val="0"/>
                <w:sz w:val="21"/>
                <w:szCs w:val="21"/>
                <w:lang w:val="en-US" w:eastAsia="zh-CN"/>
              </w:rPr>
              <w:t>、《建筑设计防火规范》GB 50016的相关规定</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rPr>
            </w:pPr>
            <w:r>
              <w:rPr>
                <w:rFonts w:hint="eastAsia" w:ascii="宋体" w:hAnsi="宋体" w:eastAsia="宋体" w:cs="宋体"/>
                <w:bCs/>
                <w:kern w:val="0"/>
                <w:sz w:val="21"/>
                <w:szCs w:val="21"/>
                <w:lang w:val="en-US" w:eastAsia="zh-CN"/>
              </w:rPr>
              <w:t>现场检查，使用有放射性、爆炸性、毒害性、极低温和污染性物质等危险化学品的区域宜与主体建筑分开设置，并应符合国家有关防火疏散、安全防护、环境保护的规定。当建在主体建筑内或贴邻建设时，应自成独立的防护单元</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sz w:val="21"/>
                <w:szCs w:val="21"/>
                <w:lang w:val="en-US" w:eastAsia="zh-CN"/>
              </w:rPr>
            </w:pPr>
            <w:r>
              <w:rPr>
                <w:rFonts w:hint="eastAsia" w:ascii="宋体" w:hAnsi="宋体" w:cs="宋体"/>
                <w:sz w:val="21"/>
                <w:szCs w:val="21"/>
                <w:lang w:val="en-US" w:eastAsia="zh-CN"/>
              </w:rPr>
              <w:t>5.1.2</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 xml:space="preserve"> 实验室的固定办公区域应与实验操作区域隔离；如实验室内设置有临时记录区，应设置在靠近安全出口的位置。危险材料、化学品贮存柜、气瓶禁止放于实验室主要出口附近。</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实验室外的公共区域不得堆放仪器、物品等；楼道紧急出口不得上锁，保证所有出口通道畅通无阻</w:t>
            </w:r>
          </w:p>
        </w:tc>
        <w:tc>
          <w:tcPr>
            <w:tcW w:w="7536" w:type="dxa"/>
            <w:tcMar>
              <w:left w:w="45" w:type="dxa"/>
              <w:right w:w="45" w:type="dxa"/>
            </w:tcMar>
            <w:vAlign w:val="center"/>
          </w:tcPr>
          <w:p>
            <w:pPr>
              <w:widowControl/>
              <w:spacing w:line="240" w:lineRule="auto"/>
              <w:jc w:val="left"/>
              <w:rPr>
                <w:rFonts w:hint="default"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现场检查</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sz w:val="21"/>
                <w:szCs w:val="21"/>
                <w:lang w:val="en-US" w:eastAsia="zh-CN"/>
              </w:rPr>
            </w:pPr>
            <w:r>
              <w:rPr>
                <w:rFonts w:hint="eastAsia" w:ascii="宋体" w:hAnsi="宋体" w:cs="宋体"/>
                <w:sz w:val="21"/>
                <w:szCs w:val="21"/>
                <w:lang w:val="en-US" w:eastAsia="zh-CN"/>
              </w:rPr>
              <w:t>5.1.3</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实验室门及走道宽度应符合安全疏散规定：《</w:t>
            </w:r>
            <w:r>
              <w:rPr>
                <w:rFonts w:hint="eastAsia" w:ascii="宋体" w:hAnsi="宋体" w:eastAsia="宋体" w:cs="宋体"/>
                <w:bCs/>
                <w:kern w:val="0"/>
                <w:sz w:val="21"/>
                <w:szCs w:val="21"/>
                <w:lang w:val="en-US" w:eastAsia="zh-CN" w:bidi="ar-SA"/>
              </w:rPr>
              <w:fldChar w:fldCharType="begin"/>
            </w:r>
            <w:r>
              <w:rPr>
                <w:rFonts w:hint="eastAsia" w:ascii="宋体" w:hAnsi="宋体" w:eastAsia="宋体" w:cs="宋体"/>
                <w:bCs/>
                <w:kern w:val="0"/>
                <w:sz w:val="21"/>
                <w:szCs w:val="21"/>
                <w:lang w:val="en-US" w:eastAsia="zh-CN" w:bidi="ar-SA"/>
              </w:rPr>
              <w:instrText xml:space="preserve"> HYPERLINK "http://www.jianbiaoku.com/webarbs/book/12613/4118937.shtml" \t "http://www.jianbiaoku.com/webarbs/book/12613/_self" </w:instrText>
            </w:r>
            <w:r>
              <w:rPr>
                <w:rFonts w:hint="eastAsia" w:ascii="宋体" w:hAnsi="宋体" w:eastAsia="宋体" w:cs="宋体"/>
                <w:bCs/>
                <w:kern w:val="0"/>
                <w:sz w:val="21"/>
                <w:szCs w:val="21"/>
                <w:lang w:val="en-US" w:eastAsia="zh-CN" w:bidi="ar-SA"/>
              </w:rPr>
              <w:fldChar w:fldCharType="separate"/>
            </w:r>
            <w:r>
              <w:rPr>
                <w:rFonts w:hint="eastAsia" w:ascii="宋体" w:hAnsi="宋体" w:eastAsia="宋体" w:cs="宋体"/>
                <w:bCs/>
                <w:kern w:val="0"/>
                <w:sz w:val="21"/>
                <w:szCs w:val="21"/>
                <w:lang w:val="en-US" w:eastAsia="zh-CN" w:bidi="ar-SA"/>
              </w:rPr>
              <w:t>科研建筑设计标准</w:t>
            </w:r>
            <w:r>
              <w:rPr>
                <w:rFonts w:hint="eastAsia" w:ascii="宋体" w:hAnsi="宋体" w:eastAsia="宋体" w:cs="宋体"/>
                <w:bCs/>
                <w:kern w:val="0"/>
                <w:sz w:val="21"/>
                <w:szCs w:val="21"/>
                <w:lang w:val="en-US" w:eastAsia="zh-CN" w:bidi="ar-SA"/>
              </w:rPr>
              <w:fldChar w:fldCharType="end"/>
            </w:r>
            <w:r>
              <w:rPr>
                <w:rFonts w:hint="eastAsia" w:ascii="宋体" w:hAnsi="宋体" w:eastAsia="宋体" w:cs="宋体"/>
                <w:bCs/>
                <w:kern w:val="0"/>
                <w:sz w:val="21"/>
                <w:szCs w:val="21"/>
                <w:lang w:val="en-US" w:eastAsia="zh-CN" w:bidi="ar-SA"/>
              </w:rPr>
              <w:t>》</w:t>
            </w:r>
            <w:r>
              <w:rPr>
                <w:rFonts w:hint="eastAsia" w:ascii="宋体" w:hAnsi="宋体" w:eastAsia="宋体" w:cs="宋体"/>
                <w:bCs/>
                <w:kern w:val="0"/>
                <w:sz w:val="21"/>
                <w:szCs w:val="21"/>
                <w:lang w:val="en-US" w:eastAsia="zh-CN" w:bidi="ar-SA"/>
              </w:rPr>
              <w:fldChar w:fldCharType="begin"/>
            </w:r>
            <w:r>
              <w:rPr>
                <w:rFonts w:hint="eastAsia" w:ascii="宋体" w:hAnsi="宋体" w:eastAsia="宋体" w:cs="宋体"/>
                <w:bCs/>
                <w:kern w:val="0"/>
                <w:sz w:val="21"/>
                <w:szCs w:val="21"/>
                <w:lang w:val="en-US" w:eastAsia="zh-CN" w:bidi="ar-SA"/>
              </w:rPr>
              <w:instrText xml:space="preserve"> HYPERLINK "http://www.jianbiaoku.com/webarbs/book/12613/4118937.shtml" \t "http://www.jianbiaoku.com/webarbs/book/12613/_self" </w:instrText>
            </w:r>
            <w:r>
              <w:rPr>
                <w:rFonts w:hint="eastAsia" w:ascii="宋体" w:hAnsi="宋体" w:eastAsia="宋体" w:cs="宋体"/>
                <w:bCs/>
                <w:kern w:val="0"/>
                <w:sz w:val="21"/>
                <w:szCs w:val="21"/>
                <w:lang w:val="en-US" w:eastAsia="zh-CN" w:bidi="ar-SA"/>
              </w:rPr>
              <w:fldChar w:fldCharType="separate"/>
            </w:r>
            <w:r>
              <w:rPr>
                <w:rFonts w:hint="eastAsia" w:ascii="宋体" w:hAnsi="宋体" w:eastAsia="宋体" w:cs="宋体"/>
                <w:bCs/>
                <w:kern w:val="0"/>
                <w:sz w:val="21"/>
                <w:szCs w:val="21"/>
                <w:lang w:val="en-US" w:eastAsia="zh-CN" w:bidi="ar-SA"/>
              </w:rPr>
              <w:t>JGJ91</w:t>
            </w:r>
            <w:r>
              <w:rPr>
                <w:rFonts w:hint="eastAsia" w:ascii="宋体" w:hAnsi="宋体" w:eastAsia="宋体" w:cs="宋体"/>
                <w:bCs/>
                <w:kern w:val="0"/>
                <w:sz w:val="21"/>
                <w:szCs w:val="21"/>
                <w:lang w:val="en-US" w:eastAsia="zh-CN" w:bidi="ar-SA"/>
              </w:rPr>
              <w:fldChar w:fldCharType="end"/>
            </w:r>
            <w:r>
              <w:rPr>
                <w:rFonts w:hint="eastAsia" w:ascii="宋体" w:hAnsi="宋体" w:eastAsia="宋体" w:cs="宋体"/>
                <w:bCs/>
                <w:kern w:val="0"/>
                <w:sz w:val="21"/>
                <w:szCs w:val="21"/>
                <w:lang w:val="en-US" w:eastAsia="zh-CN" w:bidi="ar-SA"/>
              </w:rPr>
              <w:t>、《建筑设计防火规范》GB 50016的相关规定。实验室所在楼或楼层均应设置符合安全疏散要求的安全出口，且实验室房门距最近安全出口的距离应符合GB50016的规定</w:t>
            </w:r>
          </w:p>
        </w:tc>
        <w:tc>
          <w:tcPr>
            <w:tcW w:w="7536"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Pr>
                <w:rFonts w:hint="default"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现场检查门的宽度、开启方向、走道宽度等</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Pr>
                <w:rFonts w:hint="eastAsia" w:ascii="宋体" w:hAnsi="宋体" w:eastAsia="宋体" w:cs="宋体"/>
                <w:bCs/>
                <w:kern w:val="0"/>
                <w:sz w:val="21"/>
                <w:szCs w:val="21"/>
                <w:lang w:val="en-US" w:eastAsia="zh-CN" w:bidi="ar-SA"/>
              </w:rPr>
            </w:pP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5.1.4</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实验室门应保持关闭状态，以隔绝火与烟</w:t>
            </w:r>
          </w:p>
        </w:tc>
        <w:tc>
          <w:tcPr>
            <w:tcW w:w="7536"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现场检查</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5.1.5</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Pr>
                <w:rFonts w:hint="eastAsia" w:ascii="宋体" w:hAnsi="宋体" w:eastAsia="宋体" w:cs="宋体"/>
                <w:bCs/>
                <w:kern w:val="0"/>
                <w:sz w:val="21"/>
                <w:szCs w:val="21"/>
                <w:lang w:val="en-US" w:eastAsia="zh-CN" w:bidi="ar-SA"/>
              </w:rPr>
            </w:pPr>
            <w:r>
              <w:rPr>
                <w:rFonts w:hint="eastAsia" w:ascii="宋体" w:hAnsi="宋体" w:eastAsia="宋体" w:cs="宋体"/>
                <w:bCs/>
                <w:kern w:val="0"/>
                <w:sz w:val="21"/>
                <w:szCs w:val="21"/>
                <w:lang w:val="en-US" w:eastAsia="zh-CN" w:bidi="ar-SA"/>
              </w:rPr>
              <w:t>实验室的职业病危害因素应按照《职业病防治法》的要求进行定期检测，当出现异常情况时应进行应急监测</w:t>
            </w:r>
          </w:p>
        </w:tc>
        <w:tc>
          <w:tcPr>
            <w:tcW w:w="7536" w:type="dxa"/>
            <w:tcMar>
              <w:left w:w="45" w:type="dxa"/>
              <w:right w:w="45" w:type="dxa"/>
            </w:tcMar>
            <w:vAlign w:val="center"/>
          </w:tcPr>
          <w:p>
            <w:pPr>
              <w:widowControl/>
              <w:spacing w:line="240" w:lineRule="auto"/>
              <w:jc w:val="left"/>
              <w:rPr>
                <w:rFonts w:hint="default" w:ascii="宋体" w:hAnsi="宋体" w:eastAsia="宋体" w:cs="宋体"/>
                <w:bCs/>
                <w:kern w:val="0"/>
                <w:sz w:val="21"/>
                <w:szCs w:val="21"/>
                <w:lang w:val="en-US" w:eastAsia="zh-CN"/>
              </w:rPr>
            </w:pPr>
            <w:r>
              <w:rPr>
                <w:rFonts w:hint="eastAsia" w:ascii="宋体" w:hAnsi="宋体" w:cs="宋体"/>
                <w:bCs/>
                <w:kern w:val="0"/>
                <w:sz w:val="21"/>
                <w:szCs w:val="21"/>
                <w:lang w:val="en-US" w:eastAsia="zh-CN"/>
              </w:rPr>
              <w:t>查看相关检测记录</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5.1.</w:t>
            </w:r>
            <w:r>
              <w:rPr>
                <w:rFonts w:hint="eastAsia" w:ascii="宋体" w:hAnsi="宋体" w:cs="宋体"/>
                <w:sz w:val="21"/>
                <w:szCs w:val="21"/>
                <w:lang w:val="en-US" w:eastAsia="zh-CN"/>
              </w:rPr>
              <w:t>6</w:t>
            </w:r>
          </w:p>
        </w:tc>
        <w:tc>
          <w:tcPr>
            <w:tcW w:w="4613" w:type="dxa"/>
            <w:tcMar>
              <w:left w:w="45" w:type="dxa"/>
              <w:right w:w="45" w:type="dxa"/>
            </w:tcMar>
            <w:vAlign w:val="center"/>
          </w:tcPr>
          <w:p>
            <w:pPr>
              <w:widowControl/>
              <w:spacing w:line="240" w:lineRule="auto"/>
              <w:jc w:val="left"/>
              <w:rPr>
                <w:rFonts w:hint="eastAsia" w:ascii="宋体" w:hAnsi="宋体" w:eastAsia="宋体" w:cs="宋体"/>
                <w:sz w:val="21"/>
                <w:szCs w:val="21"/>
                <w:lang w:val="en-US" w:eastAsia="zh-CN"/>
              </w:rPr>
            </w:pPr>
            <w:r>
              <w:rPr>
                <w:rFonts w:hint="eastAsia" w:ascii="宋体" w:hAnsi="宋体" w:eastAsia="宋体" w:cs="宋体"/>
                <w:sz w:val="21"/>
                <w:szCs w:val="21"/>
              </w:rPr>
              <w:t>实验场所应张贴安全信息牌</w:t>
            </w:r>
          </w:p>
        </w:tc>
        <w:tc>
          <w:tcPr>
            <w:tcW w:w="7536" w:type="dxa"/>
            <w:tcMar>
              <w:left w:w="45" w:type="dxa"/>
              <w:right w:w="45" w:type="dxa"/>
            </w:tcMar>
            <w:vAlign w:val="center"/>
          </w:tcPr>
          <w:p>
            <w:pPr>
              <w:widowControl/>
              <w:spacing w:line="240" w:lineRule="auto"/>
              <w:jc w:val="left"/>
              <w:rPr>
                <w:rFonts w:hint="eastAsia" w:ascii="宋体" w:hAnsi="宋体" w:eastAsia="宋体" w:cs="宋体"/>
                <w:sz w:val="21"/>
                <w:szCs w:val="21"/>
                <w:lang w:val="en-US" w:eastAsia="zh-CN"/>
              </w:rPr>
            </w:pPr>
            <w:r>
              <w:rPr>
                <w:rFonts w:hint="eastAsia" w:ascii="宋体" w:hAnsi="宋体" w:eastAsia="宋体" w:cs="宋体"/>
                <w:sz w:val="21"/>
                <w:szCs w:val="21"/>
              </w:rPr>
              <w:t>每个房间门口挂有安全信息牌，信息包括：安全风险点的警示标识、安全责任人、涉及危险类别、防护措施和有效的应急联系电话等，并及时更新</w:t>
            </w:r>
            <w:r>
              <w:rPr>
                <w:rFonts w:hint="eastAsia" w:ascii="宋体" w:hAnsi="宋体" w:cs="宋体"/>
                <w:sz w:val="21"/>
                <w:szCs w:val="21"/>
                <w:lang w:eastAsia="zh-CN"/>
              </w:rPr>
              <w:t>。</w:t>
            </w:r>
          </w:p>
          <w:p>
            <w:pPr>
              <w:widowControl/>
              <w:spacing w:line="24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实验室全部工作场所应有明显的危险源标识，包括剧毒品、放射性强磁、病原微生物、同位素等高危场所，应有明显的警示标识。实验室各房间门内外应有明显的进、出标识。实验室贮存柜或抽屉上应贴有内部存放所有物品的标签，且标签与物品信息应一致。实验室所有工作场所应有清楚、明显和统一的标志，如安全警示标志、安全防护标志等</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sz w:val="21"/>
                <w:szCs w:val="21"/>
                <w:lang w:val="en-US" w:eastAsia="zh-CN"/>
              </w:rPr>
            </w:pPr>
            <w:r>
              <w:rPr>
                <w:rFonts w:hint="eastAsia" w:ascii="宋体" w:hAnsi="宋体" w:cs="宋体"/>
                <w:sz w:val="21"/>
                <w:szCs w:val="21"/>
                <w:lang w:val="en-US" w:eastAsia="zh-CN"/>
              </w:rPr>
              <w:t>5.1.7</w:t>
            </w:r>
          </w:p>
        </w:tc>
        <w:tc>
          <w:tcPr>
            <w:tcW w:w="4613" w:type="dxa"/>
            <w:tcMar>
              <w:left w:w="45" w:type="dxa"/>
              <w:right w:w="45" w:type="dxa"/>
            </w:tcMar>
            <w:vAlign w:val="center"/>
          </w:tcPr>
          <w:p>
            <w:pPr>
              <w:widowControl/>
              <w:spacing w:line="24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对限制人员进入的实验区或室应设置显著的警示装置或标识。危险化学品的存放和使用区域应有显著的标识，并符合现行国家标准《化学品分类和危险性公示 通则》GB 13690的规定</w:t>
            </w:r>
          </w:p>
        </w:tc>
        <w:tc>
          <w:tcPr>
            <w:tcW w:w="7536" w:type="dxa"/>
            <w:tcMar>
              <w:left w:w="45" w:type="dxa"/>
              <w:right w:w="45" w:type="dxa"/>
            </w:tcMar>
            <w:vAlign w:val="center"/>
          </w:tcPr>
          <w:p>
            <w:pPr>
              <w:widowControl/>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检查现场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eastAsia" w:ascii="宋体" w:hAnsi="宋体" w:eastAsia="宋体" w:cs="宋体"/>
                <w:kern w:val="0"/>
                <w:sz w:val="21"/>
                <w:szCs w:val="21"/>
                <w:lang w:eastAsia="zh-CN"/>
              </w:rPr>
            </w:pPr>
            <w:r>
              <w:rPr>
                <w:rFonts w:hint="eastAsia" w:ascii="宋体" w:hAnsi="宋体" w:eastAsia="宋体" w:cs="宋体"/>
                <w:sz w:val="21"/>
                <w:szCs w:val="21"/>
              </w:rPr>
              <w:t>5.1.</w:t>
            </w:r>
            <w:r>
              <w:rPr>
                <w:rFonts w:hint="eastAsia" w:ascii="宋体" w:hAnsi="宋体" w:cs="宋体"/>
                <w:sz w:val="21"/>
                <w:szCs w:val="21"/>
                <w:lang w:val="en-US" w:eastAsia="zh-CN"/>
              </w:rPr>
              <w:t>8</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sz w:val="21"/>
                <w:szCs w:val="21"/>
              </w:rPr>
              <w:t>实验室建设和装修应符合消防安全要求</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cs="宋体"/>
                <w:sz w:val="21"/>
                <w:szCs w:val="21"/>
                <w:lang w:val="en-US" w:eastAsia="zh-CN"/>
              </w:rPr>
              <w:t>查看消防验收意见书、消防现场检查书，</w:t>
            </w:r>
            <w:r>
              <w:rPr>
                <w:rFonts w:hint="eastAsia" w:ascii="宋体" w:hAnsi="宋体" w:eastAsia="宋体" w:cs="宋体"/>
                <w:sz w:val="21"/>
                <w:szCs w:val="21"/>
              </w:rPr>
              <w:t>实验操作台应选用合格的防火、耐腐蚀材料；仪器设备安装符合建筑物承重载荷；有可燃气体的实验室不设吊顶；废弃不用的配电箱、插座、水管水龙头、网线、气体管路等，应及时拆除或封闭；实验室门上有观察窗，外开门不阻挡逃生路径</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eastAsia" w:ascii="宋体" w:hAnsi="宋体" w:eastAsia="宋体" w:cs="宋体"/>
                <w:sz w:val="21"/>
                <w:szCs w:val="21"/>
                <w:lang w:eastAsia="zh-CN"/>
              </w:rPr>
            </w:pPr>
            <w:r>
              <w:rPr>
                <w:rFonts w:hint="eastAsia" w:ascii="宋体" w:hAnsi="宋体" w:eastAsia="宋体" w:cs="宋体"/>
                <w:sz w:val="21"/>
                <w:szCs w:val="21"/>
              </w:rPr>
              <w:t>5.1.</w:t>
            </w:r>
            <w:r>
              <w:rPr>
                <w:rFonts w:hint="eastAsia" w:ascii="宋体" w:hAnsi="宋体" w:cs="宋体"/>
                <w:sz w:val="21"/>
                <w:szCs w:val="21"/>
                <w:lang w:val="en-US" w:eastAsia="zh-CN"/>
              </w:rPr>
              <w:t>9</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实验室应有应急出入措施，供电失灵时应能打开电子门锁，各房间有备用应急钥匙并统一管理</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应急备用钥匙需集中存放、统一管理，应急时方便取用</w:t>
            </w:r>
          </w:p>
        </w:tc>
        <w:tc>
          <w:tcPr>
            <w:tcW w:w="1874" w:type="dxa"/>
            <w:tcMar>
              <w:left w:w="45" w:type="dxa"/>
              <w:right w:w="45" w:type="dxa"/>
            </w:tcMar>
            <w:vAlign w:val="center"/>
          </w:tcPr>
          <w:p>
            <w:pPr>
              <w:widowControl/>
              <w:spacing w:line="240" w:lineRule="auto"/>
              <w:jc w:val="left"/>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default" w:ascii="宋体" w:hAnsi="宋体" w:eastAsia="宋体" w:cs="宋体"/>
                <w:sz w:val="21"/>
                <w:szCs w:val="21"/>
                <w:lang w:val="en-US" w:eastAsia="zh-CN"/>
              </w:rPr>
            </w:pPr>
            <w:r>
              <w:rPr>
                <w:rFonts w:hint="eastAsia" w:ascii="宋体" w:hAnsi="宋体" w:cs="宋体"/>
                <w:sz w:val="21"/>
                <w:szCs w:val="21"/>
                <w:lang w:val="en-US" w:eastAsia="zh-CN"/>
              </w:rPr>
              <w:t>5.1.10</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xml:space="preserve"> 实验室显著位置应有应急疏散图，所在楼道应有安全方位标识</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在显著位置张贴有紧急逃生疏散路线图，疏散路线图的逃生路线应有二条（含）以上；路线与现场情况符合；主要逃生路径（室内、楼梯、通道和出口处）有足够的紧急照明灯，功能正常，并设置有效标识指示逃生方向；师生应熟悉紧急疏散路线及火场逃生注意事项</w:t>
            </w:r>
          </w:p>
        </w:tc>
        <w:tc>
          <w:tcPr>
            <w:tcW w:w="1874" w:type="dxa"/>
            <w:tcMar>
              <w:left w:w="45" w:type="dxa"/>
              <w:right w:w="45" w:type="dxa"/>
            </w:tcMar>
            <w:vAlign w:val="center"/>
          </w:tcPr>
          <w:p>
            <w:pPr>
              <w:widowControl/>
              <w:spacing w:line="240" w:lineRule="auto"/>
              <w:jc w:val="left"/>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240" w:lineRule="auto"/>
              <w:jc w:val="left"/>
              <w:rPr>
                <w:rFonts w:hint="default" w:ascii="宋体" w:hAnsi="宋体" w:eastAsia="宋体" w:cs="宋体"/>
                <w:sz w:val="21"/>
                <w:szCs w:val="21"/>
                <w:lang w:val="en-US" w:eastAsia="zh-CN"/>
              </w:rPr>
            </w:pPr>
            <w:r>
              <w:rPr>
                <w:rFonts w:hint="eastAsia" w:ascii="宋体" w:hAnsi="宋体" w:eastAsia="宋体" w:cs="宋体"/>
                <w:sz w:val="21"/>
                <w:szCs w:val="21"/>
              </w:rPr>
              <w:t>5.</w:t>
            </w:r>
            <w:r>
              <w:rPr>
                <w:rFonts w:hint="eastAsia" w:ascii="宋体" w:hAnsi="宋体" w:cs="宋体"/>
                <w:sz w:val="21"/>
                <w:szCs w:val="21"/>
                <w:lang w:val="en-US" w:eastAsia="zh-CN"/>
              </w:rPr>
              <w:t>1</w:t>
            </w:r>
            <w:r>
              <w:rPr>
                <w:rFonts w:hint="eastAsia" w:ascii="宋体" w:hAnsi="宋体" w:eastAsia="宋体" w:cs="宋体"/>
                <w:sz w:val="21"/>
                <w:szCs w:val="21"/>
              </w:rPr>
              <w:t>.</w:t>
            </w:r>
            <w:r>
              <w:rPr>
                <w:rFonts w:hint="eastAsia" w:ascii="宋体" w:hAnsi="宋体" w:cs="宋体"/>
                <w:sz w:val="21"/>
                <w:szCs w:val="21"/>
                <w:lang w:val="en-US" w:eastAsia="zh-CN"/>
              </w:rPr>
              <w:t>11</w:t>
            </w:r>
          </w:p>
        </w:tc>
        <w:tc>
          <w:tcPr>
            <w:tcW w:w="4613" w:type="dxa"/>
            <w:tcMar>
              <w:left w:w="45" w:type="dxa"/>
              <w:right w:w="45" w:type="dxa"/>
            </w:tcMar>
            <w:vAlign w:val="center"/>
          </w:tcPr>
          <w:p>
            <w:pPr>
              <w:spacing w:line="240" w:lineRule="auto"/>
              <w:rPr>
                <w:rFonts w:hint="eastAsia" w:ascii="宋体" w:hAnsi="宋体" w:eastAsia="宋体" w:cs="宋体"/>
                <w:sz w:val="21"/>
                <w:szCs w:val="21"/>
              </w:rPr>
            </w:pPr>
            <w:r>
              <w:rPr>
                <w:rFonts w:hint="eastAsia" w:ascii="宋体" w:hAnsi="宋体" w:eastAsia="宋体" w:cs="宋体"/>
                <w:sz w:val="21"/>
                <w:szCs w:val="21"/>
              </w:rPr>
              <w:t>危险性实验室应配备急救物品</w:t>
            </w:r>
          </w:p>
        </w:tc>
        <w:tc>
          <w:tcPr>
            <w:tcW w:w="7536" w:type="dxa"/>
            <w:tcMar>
              <w:left w:w="45" w:type="dxa"/>
              <w:right w:w="45" w:type="dxa"/>
            </w:tcMar>
            <w:vAlign w:val="center"/>
          </w:tcPr>
          <w:p>
            <w:pPr>
              <w:spacing w:line="240" w:lineRule="auto"/>
              <w:jc w:val="left"/>
              <w:rPr>
                <w:rFonts w:hint="eastAsia" w:ascii="宋体" w:hAnsi="宋体" w:eastAsia="宋体" w:cs="宋体"/>
                <w:bCs/>
                <w:sz w:val="21"/>
                <w:szCs w:val="21"/>
              </w:rPr>
            </w:pPr>
            <w:r>
              <w:rPr>
                <w:rFonts w:hint="eastAsia" w:ascii="宋体" w:hAnsi="宋体" w:eastAsia="宋体" w:cs="宋体"/>
                <w:sz w:val="21"/>
                <w:szCs w:val="21"/>
              </w:rPr>
              <w:t>配备的药箱不上锁，并定期检查药品是否在保质期内</w:t>
            </w:r>
          </w:p>
        </w:tc>
        <w:tc>
          <w:tcPr>
            <w:tcW w:w="1874" w:type="dxa"/>
            <w:tcMar>
              <w:left w:w="45" w:type="dxa"/>
              <w:right w:w="45" w:type="dxa"/>
            </w:tcMar>
            <w:vAlign w:val="center"/>
          </w:tcPr>
          <w:p>
            <w:pPr>
              <w:spacing w:line="240" w:lineRule="auto"/>
              <w:jc w:val="left"/>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240" w:lineRule="auto"/>
              <w:jc w:val="left"/>
              <w:rPr>
                <w:rFonts w:hint="default" w:ascii="宋体" w:hAnsi="宋体" w:eastAsia="宋体" w:cs="宋体"/>
                <w:sz w:val="21"/>
                <w:szCs w:val="21"/>
                <w:lang w:val="en-US" w:eastAsia="zh-CN"/>
              </w:rPr>
            </w:pPr>
            <w:r>
              <w:rPr>
                <w:rFonts w:hint="eastAsia" w:ascii="宋体" w:hAnsi="宋体" w:eastAsia="宋体" w:cs="宋体"/>
                <w:sz w:val="21"/>
                <w:szCs w:val="21"/>
              </w:rPr>
              <w:t>5.</w:t>
            </w:r>
            <w:r>
              <w:rPr>
                <w:rFonts w:hint="eastAsia" w:ascii="宋体" w:hAnsi="宋体" w:cs="宋体"/>
                <w:sz w:val="21"/>
                <w:szCs w:val="21"/>
                <w:lang w:val="en-US" w:eastAsia="zh-CN"/>
              </w:rPr>
              <w:t>1</w:t>
            </w:r>
            <w:r>
              <w:rPr>
                <w:rFonts w:hint="eastAsia" w:ascii="宋体" w:hAnsi="宋体" w:eastAsia="宋体" w:cs="宋体"/>
                <w:sz w:val="21"/>
                <w:szCs w:val="21"/>
              </w:rPr>
              <w:t>.</w:t>
            </w:r>
            <w:r>
              <w:rPr>
                <w:rFonts w:hint="eastAsia" w:ascii="宋体" w:hAnsi="宋体" w:cs="宋体"/>
                <w:sz w:val="21"/>
                <w:szCs w:val="21"/>
                <w:lang w:val="en-US" w:eastAsia="zh-CN"/>
              </w:rPr>
              <w:t>12</w:t>
            </w:r>
          </w:p>
        </w:tc>
        <w:tc>
          <w:tcPr>
            <w:tcW w:w="4613" w:type="dxa"/>
            <w:tcMar>
              <w:left w:w="45" w:type="dxa"/>
              <w:right w:w="45" w:type="dxa"/>
            </w:tcMar>
            <w:vAlign w:val="center"/>
          </w:tcPr>
          <w:p>
            <w:pPr>
              <w:spacing w:line="240" w:lineRule="auto"/>
              <w:rPr>
                <w:rFonts w:hint="eastAsia" w:ascii="宋体" w:hAnsi="宋体" w:eastAsia="宋体" w:cs="宋体"/>
                <w:sz w:val="21"/>
                <w:szCs w:val="21"/>
              </w:rPr>
            </w:pPr>
            <w:r>
              <w:rPr>
                <w:rFonts w:hint="eastAsia" w:ascii="宋体" w:hAnsi="宋体" w:eastAsia="宋体" w:cs="宋体"/>
                <w:sz w:val="21"/>
                <w:szCs w:val="21"/>
              </w:rPr>
              <w:t>废弃的实验室有安全防范措施和明显标识</w:t>
            </w:r>
          </w:p>
        </w:tc>
        <w:tc>
          <w:tcPr>
            <w:tcW w:w="7536" w:type="dxa"/>
            <w:tcMar>
              <w:left w:w="45" w:type="dxa"/>
              <w:right w:w="45" w:type="dxa"/>
            </w:tcMar>
            <w:vAlign w:val="center"/>
          </w:tcPr>
          <w:p>
            <w:pPr>
              <w:spacing w:line="240" w:lineRule="auto"/>
              <w:jc w:val="left"/>
              <w:rPr>
                <w:rFonts w:hint="eastAsia" w:ascii="宋体" w:hAnsi="宋体" w:eastAsia="宋体" w:cs="宋体"/>
                <w:bCs/>
                <w:sz w:val="21"/>
                <w:szCs w:val="21"/>
              </w:rPr>
            </w:pPr>
            <w:r>
              <w:rPr>
                <w:rFonts w:hint="eastAsia" w:ascii="宋体" w:hAnsi="宋体" w:eastAsia="宋体" w:cs="宋体"/>
                <w:bCs/>
                <w:sz w:val="21"/>
                <w:szCs w:val="21"/>
              </w:rPr>
              <w:t>查看现场</w:t>
            </w:r>
          </w:p>
        </w:tc>
        <w:tc>
          <w:tcPr>
            <w:tcW w:w="1874" w:type="dxa"/>
            <w:tcMar>
              <w:left w:w="45" w:type="dxa"/>
              <w:right w:w="45" w:type="dxa"/>
            </w:tcMar>
            <w:vAlign w:val="center"/>
          </w:tcPr>
          <w:p>
            <w:pPr>
              <w:spacing w:line="240" w:lineRule="auto"/>
              <w:jc w:val="left"/>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6</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6.1</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240" w:lineRule="auto"/>
              <w:rPr>
                <w:rFonts w:hint="eastAsia" w:ascii="宋体" w:hAnsi="宋体" w:eastAsia="宋体" w:cs="宋体"/>
                <w:sz w:val="21"/>
                <w:szCs w:val="21"/>
              </w:rPr>
            </w:pP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实验室所在楼或楼层应通过消防单位或第三方消防机构的安全评估，合格后方可使用，并保存消防单位评估记录</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查看第三方消防安全检查记录</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240" w:lineRule="auto"/>
              <w:rPr>
                <w:rFonts w:hint="eastAsia" w:ascii="宋体" w:hAnsi="宋体" w:eastAsia="宋体" w:cs="宋体"/>
                <w:sz w:val="21"/>
                <w:szCs w:val="21"/>
              </w:rPr>
            </w:pP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实验室应按照GB50974的要求保证消防给水及配备消火栓系统；实验室所在建筑的防烟排烟系统应符合GB51251的要求</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检查消火栓配置、消防水源可靠性、排烟设施设置情况</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240" w:lineRule="auto"/>
              <w:rPr>
                <w:rFonts w:hint="eastAsia" w:ascii="宋体" w:hAnsi="宋体" w:eastAsia="宋体" w:cs="宋体"/>
                <w:sz w:val="21"/>
                <w:szCs w:val="21"/>
              </w:rPr>
            </w:pP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实验室所在楼或楼层的消防应急照明和疏散指示系统应符合GB50016和GB17945的相关规定</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检查应急照明和疏散指示标识情况</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240" w:lineRule="auto"/>
              <w:rPr>
                <w:rFonts w:hint="eastAsia" w:ascii="宋体" w:hAnsi="宋体" w:eastAsia="宋体" w:cs="宋体"/>
                <w:sz w:val="21"/>
                <w:szCs w:val="21"/>
              </w:rPr>
            </w:pP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实验室应定期组织员工进行消防演练或培训，并保存消防演练或培训记录</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实验室人员相关培训、演练记录</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240" w:lineRule="auto"/>
              <w:rPr>
                <w:rFonts w:hint="eastAsia" w:ascii="宋体" w:hAnsi="宋体" w:eastAsia="宋体" w:cs="宋体"/>
                <w:sz w:val="21"/>
                <w:szCs w:val="21"/>
              </w:rPr>
            </w:pP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实验室应按照GB25201-2010的要求对建筑消防设施进行维护和管理</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消防设施维护应符合要求，检查现场及相关维保记录</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24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6.1.1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实验室应配备合适的灭火设备，定期检查有效期并及时更换。 实验室应按可能出现的火灾类型和危险等级配备灭火器，且灭火器的配置类型、规格、数量及其设置位置应符合GB50140的相关要求</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烟感报警器、灭火器、灭火毯、消防沙、消防喷淋等，应正常有效、方便取用；灭火器种类配置正确；灭火器在有效期内（压力指针位置正常等），安全销（拉针）正常，瓶身无破损、腐蚀</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6.2</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应急喷淋与洗眼装置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6.2.</w:t>
            </w:r>
            <w:r>
              <w:rPr>
                <w:rFonts w:hint="eastAsia" w:ascii="宋体" w:hAnsi="宋体" w:cs="宋体"/>
                <w:kern w:val="0"/>
                <w:sz w:val="21"/>
                <w:szCs w:val="21"/>
                <w:lang w:val="en-US" w:eastAsia="zh-CN"/>
              </w:rPr>
              <w:t>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应急喷淋与洗眼装置安装合理，并能正常使用</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应急喷淋安装地点与工作区域之间畅通，距离不超过</w:t>
            </w:r>
            <w:r>
              <w:rPr>
                <w:rFonts w:hint="eastAsia" w:ascii="宋体" w:hAnsi="宋体" w:cs="宋体"/>
                <w:kern w:val="0"/>
                <w:sz w:val="21"/>
                <w:szCs w:val="21"/>
                <w:lang w:val="en-US" w:eastAsia="zh-CN"/>
              </w:rPr>
              <w:t>15</w:t>
            </w:r>
            <w:r>
              <w:rPr>
                <w:rFonts w:hint="eastAsia" w:ascii="宋体" w:hAnsi="宋体" w:eastAsia="宋体" w:cs="宋体"/>
                <w:kern w:val="0"/>
                <w:sz w:val="21"/>
                <w:szCs w:val="21"/>
              </w:rPr>
              <w:t>米；应急喷淋安装位置合适，拉杆位置合适、方向正确；应急喷淋装置水管总阀处常开状，喷淋头下方无障碍物；不能以普通淋浴装置代替应急喷淋装置；洗眼装置接入生活用水管道，水量水压适中（喷出高度8-10厘米），</w:t>
            </w:r>
            <w:r>
              <w:rPr>
                <w:rFonts w:hint="eastAsia" w:ascii="宋体" w:hAnsi="宋体" w:eastAsia="宋体" w:cs="宋体"/>
                <w:bCs/>
                <w:kern w:val="0"/>
                <w:sz w:val="21"/>
                <w:szCs w:val="21"/>
              </w:rPr>
              <w:t>水流畅通平稳</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6.2.2</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紧急喷淋装置应安装围堰，防止冲洗水外溢</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6.2.3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定期对应急喷淋与洗眼装置进行维护</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有检查记录（每月启动一次阀门，时刻保证管内流水畅通）；每周擦拭洗眼喷头，</w:t>
            </w:r>
            <w:r>
              <w:rPr>
                <w:rFonts w:hint="eastAsia" w:ascii="宋体" w:hAnsi="宋体" w:eastAsia="宋体" w:cs="宋体"/>
                <w:bCs/>
                <w:kern w:val="0"/>
                <w:sz w:val="21"/>
                <w:szCs w:val="21"/>
              </w:rPr>
              <w:t>无锈水脏水</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6.3</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6.3.1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有需要的实验场所配备符合设计规范的通风系统</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管道风机需防腐，使用可燃气体场所应采用防爆风机</w:t>
            </w:r>
            <w:r>
              <w:rPr>
                <w:rFonts w:hint="eastAsia" w:ascii="宋体" w:hAnsi="宋体" w:eastAsia="宋体" w:cs="宋体"/>
                <w:bCs/>
                <w:kern w:val="0"/>
                <w:sz w:val="21"/>
                <w:szCs w:val="21"/>
              </w:rPr>
              <w:t>；</w:t>
            </w:r>
            <w:r>
              <w:rPr>
                <w:rFonts w:hint="eastAsia" w:ascii="宋体" w:hAnsi="宋体" w:eastAsia="宋体" w:cs="宋体"/>
                <w:kern w:val="0"/>
                <w:sz w:val="21"/>
                <w:szCs w:val="21"/>
              </w:rPr>
              <w:t>实验室通风系统运行正常，</w:t>
            </w:r>
            <w:r>
              <w:rPr>
                <w:rFonts w:hint="eastAsia" w:ascii="宋体" w:hAnsi="宋体" w:eastAsia="宋体" w:cs="宋体"/>
                <w:sz w:val="21"/>
                <w:szCs w:val="21"/>
              </w:rPr>
              <w:t>柜口面</w:t>
            </w:r>
            <w:r>
              <w:rPr>
                <w:rFonts w:hint="eastAsia" w:ascii="宋体" w:hAnsi="宋体" w:eastAsia="宋体" w:cs="宋体"/>
                <w:kern w:val="0"/>
                <w:sz w:val="21"/>
                <w:szCs w:val="21"/>
              </w:rPr>
              <w:t>风速0.30-0.75 米/秒，定期进行维护、检修；屋顶风机固定无松动、无异常噪声</w:t>
            </w:r>
          </w:p>
        </w:tc>
        <w:tc>
          <w:tcPr>
            <w:tcW w:w="1874" w:type="dxa"/>
            <w:tcMar>
              <w:left w:w="45" w:type="dxa"/>
              <w:right w:w="45" w:type="dxa"/>
            </w:tcMar>
            <w:vAlign w:val="center"/>
          </w:tcPr>
          <w:p>
            <w:pPr>
              <w:spacing w:line="240" w:lineRule="auto"/>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63.2</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实验室的通风能力应与当前实验室运行情况相适应，应符合GB50736或GB50019对通风的要求。</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实验室应配备局部排风系统，如：通风橱、排风罩等，且其性能应满足AQ/T4274-2016的要求。</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实验室应定期对通排风系统进行功能有效性核查并保存核查记录。</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通风橱内可暂时存放当天实验所需危险化学品，禁止长时间存放危险化学品和杂物。</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SA"/>
              </w:rPr>
              <w:t>大量使用强腐蚀剂的实验室应设单独排风系统</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现场检查风机设置的位置、通风量及次数、通风橱内危化品的量</w:t>
            </w:r>
          </w:p>
        </w:tc>
        <w:tc>
          <w:tcPr>
            <w:tcW w:w="1874" w:type="dxa"/>
            <w:tcMar>
              <w:left w:w="45" w:type="dxa"/>
              <w:right w:w="45" w:type="dxa"/>
            </w:tcMar>
            <w:vAlign w:val="center"/>
          </w:tcPr>
          <w:p>
            <w:pPr>
              <w:spacing w:line="240" w:lineRule="auto"/>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6.3.3</w:t>
            </w:r>
          </w:p>
        </w:tc>
        <w:tc>
          <w:tcPr>
            <w:tcW w:w="4613" w:type="dxa"/>
            <w:tcMar>
              <w:left w:w="45" w:type="dxa"/>
              <w:right w:w="45" w:type="dxa"/>
            </w:tcMar>
            <w:vAlign w:val="top"/>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 xml:space="preserve"> 实验室排风系统的排风装置、风管、阀门、附件和风机等选材，应符合下列规定：</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  1</w:t>
            </w:r>
            <w:r>
              <w:rPr>
                <w:rFonts w:hint="eastAsia" w:cs="宋体"/>
                <w:kern w:val="0"/>
                <w:sz w:val="21"/>
                <w:szCs w:val="21"/>
                <w:lang w:val="en-US" w:eastAsia="zh-CN" w:bidi="ar-SA"/>
              </w:rPr>
              <w:t>.</w:t>
            </w:r>
            <w:r>
              <w:rPr>
                <w:rFonts w:hint="eastAsia" w:ascii="宋体" w:hAnsi="宋体" w:eastAsia="宋体" w:cs="宋体"/>
                <w:kern w:val="0"/>
                <w:sz w:val="21"/>
                <w:szCs w:val="21"/>
                <w:lang w:val="en-US" w:eastAsia="zh-CN" w:bidi="ar-SA"/>
              </w:rPr>
              <w:t>应采用不燃烧材料制作。</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  2</w:t>
            </w:r>
            <w:r>
              <w:rPr>
                <w:rFonts w:hint="eastAsia" w:cs="宋体"/>
                <w:kern w:val="0"/>
                <w:sz w:val="21"/>
                <w:szCs w:val="21"/>
                <w:lang w:val="en-US" w:eastAsia="zh-CN" w:bidi="ar-SA"/>
              </w:rPr>
              <w:t>.</w:t>
            </w:r>
            <w:r>
              <w:rPr>
                <w:rFonts w:hint="eastAsia" w:ascii="宋体" w:hAnsi="宋体" w:eastAsia="宋体" w:cs="宋体"/>
                <w:kern w:val="0"/>
                <w:sz w:val="21"/>
                <w:szCs w:val="21"/>
                <w:lang w:val="en-US" w:eastAsia="zh-CN" w:bidi="ar-SA"/>
              </w:rPr>
              <w:t>应综合考虑排风内有害物对系统风管、阀门、附件和风机等选材的影响。</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 xml:space="preserve">  </w:t>
            </w:r>
            <w:r>
              <w:rPr>
                <w:rFonts w:hint="eastAsia" w:cs="宋体"/>
                <w:kern w:val="0"/>
                <w:sz w:val="21"/>
                <w:szCs w:val="21"/>
                <w:lang w:val="en-US" w:eastAsia="zh-CN" w:bidi="ar-SA"/>
              </w:rPr>
              <w:t>3.</w:t>
            </w:r>
            <w:r>
              <w:rPr>
                <w:rFonts w:hint="eastAsia" w:ascii="宋体" w:hAnsi="宋体" w:eastAsia="宋体" w:cs="宋体"/>
                <w:kern w:val="0"/>
                <w:sz w:val="21"/>
                <w:szCs w:val="21"/>
                <w:lang w:val="en-US" w:eastAsia="zh-CN" w:bidi="ar-SA"/>
              </w:rPr>
              <w:t>使用和产生易燃易爆物质的房间，送、排风系统应采取防爆措施和采用防爆型通风设备</w:t>
            </w:r>
          </w:p>
        </w:tc>
        <w:tc>
          <w:tcPr>
            <w:tcW w:w="7536"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spacing w:line="240" w:lineRule="auto"/>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6.3.4</w:t>
            </w:r>
          </w:p>
        </w:tc>
        <w:tc>
          <w:tcPr>
            <w:tcW w:w="4613" w:type="dxa"/>
            <w:tcMar>
              <w:left w:w="45" w:type="dxa"/>
              <w:right w:w="45" w:type="dxa"/>
            </w:tcMar>
            <w:vAlign w:val="top"/>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0"/>
                <w:sz w:val="21"/>
                <w:szCs w:val="21"/>
                <w:highlight w:val="yellow"/>
                <w:lang w:val="en-US" w:eastAsia="zh-CN" w:bidi="ar-SA"/>
              </w:rPr>
            </w:pPr>
            <w:r>
              <w:rPr>
                <w:rFonts w:hint="eastAsia" w:ascii="宋体" w:hAnsi="宋体" w:eastAsia="宋体" w:cs="宋体"/>
                <w:kern w:val="0"/>
                <w:sz w:val="21"/>
                <w:szCs w:val="21"/>
                <w:lang w:val="en-US" w:eastAsia="zh-CN" w:bidi="ar-SA"/>
              </w:rPr>
              <w:t>设在建筑物室内的竖向排风管应设在排风管井内。水平风管在与竖向排风管连接处应设防火阀。当接触强腐蚀性物质的排风管道采用分层设置独立系统，且其水平风管不跨越防火分隔，竖向风管安装在具有足够耐火极限的管井内时，系统风管可不设防火阀</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查看现场</w:t>
            </w:r>
          </w:p>
        </w:tc>
        <w:tc>
          <w:tcPr>
            <w:tcW w:w="1874" w:type="dxa"/>
            <w:tcMar>
              <w:left w:w="45" w:type="dxa"/>
              <w:right w:w="45" w:type="dxa"/>
            </w:tcMar>
            <w:vAlign w:val="center"/>
          </w:tcPr>
          <w:p>
            <w:pPr>
              <w:spacing w:line="240" w:lineRule="auto"/>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6.3.</w:t>
            </w:r>
            <w:r>
              <w:rPr>
                <w:rFonts w:hint="eastAsia" w:ascii="宋体" w:hAnsi="宋体" w:cs="宋体"/>
                <w:kern w:val="0"/>
                <w:sz w:val="21"/>
                <w:szCs w:val="21"/>
                <w:lang w:val="en-US" w:eastAsia="zh-CN"/>
              </w:rPr>
              <w:t>5</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通风柜配置合理、使用正常、操作合规</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根据需要在通风柜管路上安装有毒有害气体的吸附或处理装置（如活性炭、光催化分解、水喷淋等）；任何可能产生高浓度有害气体而导致个人曝露、或产生可燃、可爆炸气体或蒸汽而导致积聚的实验，都应在通风柜内进行；进行实验时，可调玻璃视窗开至据台面10-15厘米，保持通风效果，并保护操作人员胸部以上部位；</w:t>
            </w:r>
            <w:r>
              <w:rPr>
                <w:rFonts w:hint="eastAsia" w:ascii="宋体" w:hAnsi="宋体" w:eastAsia="宋体" w:cs="宋体"/>
                <w:bCs/>
                <w:kern w:val="0"/>
                <w:sz w:val="21"/>
                <w:szCs w:val="21"/>
              </w:rPr>
              <w:t>玻璃视窗材料应是钢化玻璃；</w:t>
            </w:r>
            <w:r>
              <w:rPr>
                <w:rFonts w:hint="eastAsia" w:ascii="宋体" w:hAnsi="宋体" w:eastAsia="宋体" w:cs="宋体"/>
                <w:kern w:val="0"/>
                <w:sz w:val="21"/>
                <w:szCs w:val="21"/>
              </w:rPr>
              <w:t>实验人员在通风柜进行实验时，避免将头伸入调节门内；不可将一次性手套或较轻的塑料袋等留在通风柜内，以免堵塞排风口；通风柜内放置物品应距离调节门内侧15厘米左右，以免掉落</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6.5</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sz w:val="21"/>
                <w:szCs w:val="21"/>
              </w:rPr>
            </w:pPr>
            <w:r>
              <w:rPr>
                <w:rFonts w:hint="eastAsia" w:ascii="宋体" w:hAnsi="宋体" w:eastAsia="宋体" w:cs="宋体"/>
                <w:b/>
                <w:sz w:val="21"/>
                <w:szCs w:val="21"/>
              </w:rPr>
              <w:t>实验室防爆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6.5.1</w:t>
            </w:r>
          </w:p>
        </w:tc>
        <w:tc>
          <w:tcPr>
            <w:tcW w:w="4613" w:type="dxa"/>
            <w:tcMar>
              <w:left w:w="45" w:type="dxa"/>
              <w:right w:w="45" w:type="dxa"/>
            </w:tcMar>
            <w:vAlign w:val="center"/>
          </w:tcPr>
          <w:p>
            <w:pPr>
              <w:spacing w:line="240" w:lineRule="auto"/>
              <w:rPr>
                <w:rFonts w:hint="eastAsia" w:ascii="宋体" w:hAnsi="宋体" w:eastAsia="宋体" w:cs="宋体"/>
                <w:sz w:val="21"/>
                <w:szCs w:val="21"/>
              </w:rPr>
            </w:pPr>
            <w:r>
              <w:rPr>
                <w:rFonts w:hint="eastAsia" w:ascii="宋体" w:hAnsi="宋体" w:eastAsia="宋体" w:cs="宋体"/>
                <w:sz w:val="21"/>
                <w:szCs w:val="21"/>
              </w:rPr>
              <w:t>有防爆需求的实验室需符合防爆设计要求</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sz w:val="21"/>
                <w:szCs w:val="21"/>
              </w:rPr>
              <w:t>安装有防爆开关、防爆灯等，安装必要的气体报警系统、监控系统、应急系统等；对于产生可燃气体或蒸汽的装置，应在其进、出口处安装阻火器；室内应加强通风，防止爆炸物聚积</w:t>
            </w:r>
          </w:p>
        </w:tc>
        <w:tc>
          <w:tcPr>
            <w:tcW w:w="1874" w:type="dxa"/>
            <w:tcMar>
              <w:left w:w="45" w:type="dxa"/>
              <w:right w:w="45" w:type="dxa"/>
            </w:tcMar>
            <w:vAlign w:val="center"/>
          </w:tcPr>
          <w:p>
            <w:pPr>
              <w:widowControl/>
              <w:spacing w:line="240" w:lineRule="auto"/>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6.5.2</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2"/>
                <w:sz w:val="21"/>
                <w:szCs w:val="21"/>
                <w:highlight w:val="yellow"/>
                <w:lang w:val="en-US" w:eastAsia="zh-CN" w:bidi="ar-SA"/>
              </w:rPr>
            </w:pPr>
            <w:r>
              <w:rPr>
                <w:rFonts w:hint="eastAsia" w:ascii="宋体" w:hAnsi="宋体" w:eastAsia="宋体" w:cs="宋体"/>
                <w:kern w:val="2"/>
                <w:sz w:val="21"/>
                <w:szCs w:val="21"/>
                <w:lang w:val="en-US" w:eastAsia="zh-CN" w:bidi="ar-SA"/>
              </w:rPr>
              <w:t>属于爆炸性气体环境0-2区或爆炸性粉尘环境20-22区的实验室，包括通风橱，照明，电气仪表等均应使用相应防爆等级的防爆设备；配备相应的防静电措施，操作人员应避免穿易产生静电的内外服装；并不得使用明火加热和电炉</w:t>
            </w:r>
          </w:p>
        </w:tc>
        <w:tc>
          <w:tcPr>
            <w:tcW w:w="7536" w:type="dxa"/>
            <w:tcMar>
              <w:left w:w="45" w:type="dxa"/>
              <w:right w:w="45" w:type="dxa"/>
            </w:tcMar>
            <w:vAlign w:val="center"/>
          </w:tcPr>
          <w:p>
            <w:pPr>
              <w:widowControl/>
              <w:spacing w:line="240" w:lineRule="auto"/>
              <w:jc w:val="left"/>
              <w:rPr>
                <w:rFonts w:hint="default" w:ascii="宋体" w:hAnsi="宋体" w:eastAsia="宋体" w:cs="宋体"/>
                <w:sz w:val="21"/>
                <w:szCs w:val="21"/>
                <w:lang w:val="en-US" w:eastAsia="zh-CN"/>
              </w:rPr>
            </w:pPr>
            <w:r>
              <w:rPr>
                <w:rFonts w:hint="eastAsia" w:ascii="宋体" w:hAnsi="宋体" w:cs="宋体"/>
                <w:sz w:val="21"/>
                <w:szCs w:val="21"/>
                <w:lang w:val="en-US" w:eastAsia="zh-CN"/>
              </w:rPr>
              <w:t>爆炸危险源区域内的电气设备组别和级别应符合要求，防静电设置合理，工作人员服装符合要求</w:t>
            </w:r>
          </w:p>
        </w:tc>
        <w:tc>
          <w:tcPr>
            <w:tcW w:w="1874" w:type="dxa"/>
            <w:tcMar>
              <w:left w:w="45" w:type="dxa"/>
              <w:right w:w="45" w:type="dxa"/>
            </w:tcMar>
            <w:vAlign w:val="center"/>
          </w:tcPr>
          <w:p>
            <w:pPr>
              <w:widowControl/>
              <w:spacing w:line="240" w:lineRule="auto"/>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cs="宋体"/>
                <w:sz w:val="21"/>
                <w:szCs w:val="21"/>
                <w:lang w:val="en-US" w:eastAsia="zh-CN"/>
              </w:rPr>
            </w:pPr>
            <w:r>
              <w:rPr>
                <w:rFonts w:hint="eastAsia" w:ascii="宋体" w:hAnsi="宋体" w:cs="宋体"/>
                <w:sz w:val="21"/>
                <w:szCs w:val="21"/>
                <w:lang w:val="en-US" w:eastAsia="zh-CN"/>
              </w:rPr>
              <w:t>6.5.3</w:t>
            </w:r>
          </w:p>
        </w:tc>
        <w:tc>
          <w:tcPr>
            <w:tcW w:w="4613" w:type="dxa"/>
            <w:tcMar>
              <w:left w:w="45" w:type="dxa"/>
              <w:right w:w="45" w:type="dxa"/>
            </w:tcMar>
            <w:vAlign w:val="center"/>
          </w:tcPr>
          <w:p>
            <w:pPr>
              <w:widowControl/>
              <w:spacing w:line="240" w:lineRule="auto"/>
              <w:jc w:val="left"/>
              <w:rPr>
                <w:rFonts w:hint="eastAsia" w:ascii="宋体" w:hAnsi="宋体" w:cs="宋体"/>
                <w:sz w:val="21"/>
                <w:szCs w:val="21"/>
                <w:lang w:val="en-US" w:eastAsia="zh-CN"/>
              </w:rPr>
            </w:pPr>
            <w:r>
              <w:rPr>
                <w:rFonts w:hint="eastAsia" w:ascii="宋体" w:hAnsi="宋体" w:cs="宋体"/>
                <w:sz w:val="21"/>
                <w:szCs w:val="21"/>
                <w:lang w:val="en-US" w:eastAsia="zh-CN"/>
              </w:rPr>
              <w:t>设计专用于储存易燃液体或易燃气体的房间或区域，除非经过特殊的评估或论证，否则至少应按照气体危险区域2区的要求进行防爆电器选型及安装</w:t>
            </w:r>
          </w:p>
        </w:tc>
        <w:tc>
          <w:tcPr>
            <w:tcW w:w="7536" w:type="dxa"/>
            <w:tcMar>
              <w:left w:w="45" w:type="dxa"/>
              <w:right w:w="45" w:type="dxa"/>
            </w:tcMar>
            <w:vAlign w:val="center"/>
          </w:tcPr>
          <w:p>
            <w:pPr>
              <w:widowControl/>
              <w:spacing w:line="240" w:lineRule="auto"/>
              <w:jc w:val="left"/>
              <w:rPr>
                <w:rFonts w:hint="default" w:ascii="宋体" w:hAnsi="宋体" w:eastAsia="宋体" w:cs="宋体"/>
                <w:sz w:val="21"/>
                <w:szCs w:val="21"/>
                <w:lang w:val="en-US" w:eastAsia="zh-CN"/>
              </w:rPr>
            </w:pPr>
            <w:r>
              <w:rPr>
                <w:rFonts w:hint="eastAsia" w:ascii="宋体" w:hAnsi="宋体" w:cs="宋体"/>
                <w:sz w:val="21"/>
                <w:szCs w:val="21"/>
                <w:lang w:val="en-US" w:eastAsia="zh-CN"/>
              </w:rPr>
              <w:t>现场检查，相关房间或区域电气设备选型符合安全要求</w:t>
            </w:r>
          </w:p>
        </w:tc>
        <w:tc>
          <w:tcPr>
            <w:tcW w:w="1874" w:type="dxa"/>
            <w:tcMar>
              <w:left w:w="45" w:type="dxa"/>
              <w:right w:w="45" w:type="dxa"/>
            </w:tcMar>
            <w:vAlign w:val="center"/>
          </w:tcPr>
          <w:p>
            <w:pPr>
              <w:widowControl/>
              <w:spacing w:line="240" w:lineRule="auto"/>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6.5.4</w:t>
            </w:r>
          </w:p>
        </w:tc>
        <w:tc>
          <w:tcPr>
            <w:tcW w:w="4613" w:type="dxa"/>
            <w:tcMar>
              <w:left w:w="45" w:type="dxa"/>
              <w:right w:w="45" w:type="dxa"/>
            </w:tcMar>
            <w:vAlign w:val="center"/>
          </w:tcPr>
          <w:p>
            <w:pPr>
              <w:widowControl/>
              <w:spacing w:line="240" w:lineRule="auto"/>
              <w:jc w:val="left"/>
              <w:rPr>
                <w:rFonts w:hint="eastAsia" w:ascii="宋体" w:hAnsi="宋体" w:cs="宋体"/>
                <w:sz w:val="21"/>
                <w:szCs w:val="21"/>
                <w:lang w:val="en-US" w:eastAsia="zh-CN"/>
              </w:rPr>
            </w:pPr>
            <w:r>
              <w:rPr>
                <w:rFonts w:hint="eastAsia" w:ascii="宋体" w:hAnsi="宋体" w:cs="宋体"/>
                <w:sz w:val="21"/>
                <w:szCs w:val="21"/>
                <w:lang w:val="en-US" w:eastAsia="zh-CN"/>
              </w:rPr>
              <w:t>实验室应定期核查防爆设施与防静电设施的功能有效</w:t>
            </w:r>
          </w:p>
        </w:tc>
        <w:tc>
          <w:tcPr>
            <w:tcW w:w="7536" w:type="dxa"/>
            <w:tcMar>
              <w:left w:w="45" w:type="dxa"/>
              <w:right w:w="45" w:type="dxa"/>
            </w:tcMar>
            <w:vAlign w:val="center"/>
          </w:tcPr>
          <w:p>
            <w:pPr>
              <w:widowControl/>
              <w:spacing w:line="240" w:lineRule="auto"/>
              <w:jc w:val="left"/>
              <w:rPr>
                <w:rFonts w:hint="default" w:ascii="宋体" w:hAnsi="宋体" w:cs="宋体"/>
                <w:sz w:val="21"/>
                <w:szCs w:val="21"/>
                <w:lang w:val="en-US" w:eastAsia="zh-CN"/>
              </w:rPr>
            </w:pPr>
            <w:r>
              <w:rPr>
                <w:rFonts w:hint="eastAsia" w:ascii="宋体" w:hAnsi="宋体" w:cs="宋体"/>
                <w:sz w:val="21"/>
                <w:szCs w:val="21"/>
                <w:lang w:val="en-US" w:eastAsia="zh-CN"/>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6.5.5</w:t>
            </w:r>
          </w:p>
        </w:tc>
        <w:tc>
          <w:tcPr>
            <w:tcW w:w="4613" w:type="dxa"/>
            <w:tcMar>
              <w:left w:w="45" w:type="dxa"/>
              <w:right w:w="45" w:type="dxa"/>
            </w:tcMar>
            <w:vAlign w:val="center"/>
          </w:tcPr>
          <w:p>
            <w:pPr>
              <w:widowControl/>
              <w:spacing w:line="240" w:lineRule="auto"/>
              <w:jc w:val="left"/>
              <w:rPr>
                <w:rFonts w:hint="eastAsia" w:ascii="宋体" w:hAnsi="宋体" w:cs="宋体"/>
                <w:sz w:val="21"/>
                <w:szCs w:val="21"/>
                <w:lang w:val="en-US" w:eastAsia="zh-CN"/>
              </w:rPr>
            </w:pPr>
            <w:r>
              <w:rPr>
                <w:rFonts w:hint="eastAsia" w:ascii="宋体" w:hAnsi="宋体" w:cs="宋体"/>
                <w:sz w:val="21"/>
                <w:szCs w:val="21"/>
                <w:lang w:val="en-US" w:eastAsia="zh-CN"/>
              </w:rPr>
              <w:t>存放危险化学品的实验室，应设置24h持续通风的专用化学品储存柜</w:t>
            </w:r>
          </w:p>
        </w:tc>
        <w:tc>
          <w:tcPr>
            <w:tcW w:w="7536" w:type="dxa"/>
            <w:tcMar>
              <w:left w:w="45" w:type="dxa"/>
              <w:right w:w="45" w:type="dxa"/>
            </w:tcMar>
            <w:vAlign w:val="center"/>
          </w:tcPr>
          <w:p>
            <w:pPr>
              <w:widowControl/>
              <w:spacing w:line="240" w:lineRule="auto"/>
              <w:jc w:val="left"/>
              <w:rPr>
                <w:rFonts w:hint="default" w:ascii="宋体" w:hAnsi="宋体" w:cs="宋体"/>
                <w:sz w:val="21"/>
                <w:szCs w:val="21"/>
                <w:lang w:val="en-US" w:eastAsia="zh-CN"/>
              </w:rPr>
            </w:pPr>
            <w:r>
              <w:rPr>
                <w:rFonts w:hint="eastAsia" w:ascii="宋体" w:hAnsi="宋体" w:cs="宋体"/>
                <w:sz w:val="21"/>
                <w:szCs w:val="21"/>
                <w:lang w:val="en-US" w:eastAsia="zh-CN"/>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6.5.6</w:t>
            </w:r>
          </w:p>
        </w:tc>
        <w:tc>
          <w:tcPr>
            <w:tcW w:w="4613" w:type="dxa"/>
            <w:tcMar>
              <w:left w:w="45" w:type="dxa"/>
              <w:right w:w="45" w:type="dxa"/>
            </w:tcMar>
            <w:vAlign w:val="center"/>
          </w:tcPr>
          <w:p>
            <w:pPr>
              <w:widowControl/>
              <w:spacing w:line="240" w:lineRule="auto"/>
              <w:jc w:val="left"/>
              <w:rPr>
                <w:rFonts w:hint="eastAsia" w:ascii="宋体" w:hAnsi="宋体" w:cs="宋体"/>
                <w:sz w:val="21"/>
                <w:szCs w:val="21"/>
                <w:lang w:val="en-US" w:eastAsia="zh-CN"/>
              </w:rPr>
            </w:pPr>
            <w:r>
              <w:rPr>
                <w:rFonts w:hint="eastAsia" w:ascii="宋体" w:hAnsi="宋体" w:cs="宋体"/>
                <w:sz w:val="21"/>
                <w:szCs w:val="21"/>
                <w:lang w:val="en-US" w:eastAsia="zh-CN"/>
              </w:rPr>
              <w:t>使用和产生易燃易爆物质的房间应根据可燃气体的类型，设置相应的可燃气体探测器</w:t>
            </w:r>
          </w:p>
        </w:tc>
        <w:tc>
          <w:tcPr>
            <w:tcW w:w="7536" w:type="dxa"/>
            <w:tcMar>
              <w:left w:w="45" w:type="dxa"/>
              <w:right w:w="45" w:type="dxa"/>
            </w:tcMar>
            <w:vAlign w:val="center"/>
          </w:tcPr>
          <w:p>
            <w:pPr>
              <w:widowControl/>
              <w:spacing w:line="240" w:lineRule="auto"/>
              <w:jc w:val="left"/>
              <w:rPr>
                <w:rFonts w:hint="default" w:ascii="宋体" w:hAnsi="宋体" w:cs="宋体"/>
                <w:sz w:val="21"/>
                <w:szCs w:val="21"/>
                <w:lang w:val="en-US" w:eastAsia="zh-CN"/>
              </w:rPr>
            </w:pPr>
            <w:r>
              <w:rPr>
                <w:rFonts w:hint="eastAsia" w:ascii="宋体" w:hAnsi="宋体" w:cs="宋体"/>
                <w:sz w:val="21"/>
                <w:szCs w:val="21"/>
                <w:lang w:val="en-US" w:eastAsia="zh-CN"/>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7</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7.1</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用电用水基础安全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7.1.1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实验室用电安全应符合国家标准（导则）和行业标准</w:t>
            </w:r>
            <w:r>
              <w:rPr>
                <w:rFonts w:hint="eastAsia" w:ascii="宋体" w:hAnsi="宋体" w:eastAsia="宋体" w:cs="宋体"/>
                <w:kern w:val="0"/>
                <w:sz w:val="21"/>
                <w:szCs w:val="21"/>
                <w:lang w:eastAsia="zh-CN"/>
              </w:rPr>
              <w:t>用电</w:t>
            </w:r>
          </w:p>
        </w:tc>
        <w:tc>
          <w:tcPr>
            <w:tcW w:w="7536" w:type="dxa"/>
            <w:tcMar>
              <w:left w:w="45" w:type="dxa"/>
              <w:right w:w="45" w:type="dxa"/>
            </w:tcMar>
            <w:vAlign w:val="center"/>
          </w:tcPr>
          <w:p>
            <w:pPr>
              <w:spacing w:line="240" w:lineRule="auto"/>
              <w:rPr>
                <w:rFonts w:hint="eastAsia" w:ascii="宋体" w:hAnsi="宋体" w:eastAsia="宋体" w:cs="宋体"/>
                <w:bCs/>
                <w:kern w:val="0"/>
                <w:sz w:val="21"/>
                <w:szCs w:val="21"/>
              </w:rPr>
            </w:pPr>
            <w:r>
              <w:rPr>
                <w:rFonts w:hint="eastAsia" w:ascii="宋体" w:hAnsi="宋体" w:eastAsia="宋体" w:cs="宋体"/>
                <w:kern w:val="0"/>
                <w:sz w:val="21"/>
                <w:szCs w:val="21"/>
              </w:rPr>
              <w:t>实验室电容量、插头插座与用电设备功率需匹配，不得私自改装；电源插座须固定；电气设备应配备空气开关和漏电保护器；不私自乱拉乱接电线电缆，不使用老化的线缆、花线和木质配电板；禁止多个接线板串接供电，接线板不宜直接置于地面，禁止使用有破损的接线板；电线接头绝缘可靠，无裸露连接线，穿越通道的线缆应有盖板或护套；大功率仪器（包括空调等）使用专用插座（不可使用接线板），用电负荷满足要求；电器长期不用时，应切断电源</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240" w:lineRule="auto"/>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7.1.2</w:t>
            </w:r>
          </w:p>
        </w:tc>
        <w:tc>
          <w:tcPr>
            <w:tcW w:w="4613" w:type="dxa"/>
            <w:tcMar>
              <w:left w:w="45" w:type="dxa"/>
              <w:right w:w="45" w:type="dxa"/>
            </w:tcMar>
            <w:vAlign w:val="center"/>
          </w:tcPr>
          <w:p>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实验用房内，在遇水会迅速分解、燃烧、爆炸或损坏的物品的存储或实验区不得布置给水和排水管道</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7.2</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个人防护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7.2.1</w:t>
            </w:r>
          </w:p>
        </w:tc>
        <w:tc>
          <w:tcPr>
            <w:tcW w:w="4613" w:type="dxa"/>
            <w:tcMar>
              <w:left w:w="45" w:type="dxa"/>
              <w:right w:w="45" w:type="dxa"/>
            </w:tcMar>
            <w:vAlign w:val="center"/>
          </w:tcPr>
          <w:p>
            <w:pPr>
              <w:widowControl/>
              <w:spacing w:line="240" w:lineRule="auto"/>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实验人员配备合适的个人防护用品</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符合GB39800、GB/T29510和GB/T116518相关规定</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lang w:eastAsia="zh-CN"/>
              </w:rPr>
            </w:pPr>
            <w:r>
              <w:rPr>
                <w:rFonts w:hint="eastAsia" w:ascii="宋体" w:hAnsi="宋体" w:eastAsia="宋体" w:cs="宋体"/>
                <w:kern w:val="0"/>
                <w:sz w:val="21"/>
                <w:szCs w:val="21"/>
              </w:rPr>
              <w:t>凡进入实验室人员需穿着质地合适的实验服或防护服；按需要佩戴防护眼镜、防护手套、安全帽、防护帽、呼吸器或面罩（呼吸器或面罩在有效期内，不用时须密封放置）等；进行化学、生物安全和高温实验时，不得佩戴隐形眼镜；操作机床等旋转设备时，不穿戴长围巾、丝巾、领带等；穿着化学、生物类实验服或戴实验手套，不得随意进入非实验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7.2.2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个人防护用品分散存放，存放地点有明显标识</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在紧急情况需使用的防化服等个人防护器具应分散存放在安全场所，以便于取用</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7.2.3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各类个人防护用品的使用有培训及定期检查维护记录</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检查培训及维护记录</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b/>
                <w:bCs/>
                <w:kern w:val="0"/>
                <w:sz w:val="21"/>
                <w:szCs w:val="21"/>
              </w:rPr>
              <w:t>7.3</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7.3.1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危险性实验（如高温、高压、高速运转等）时必须有两人在场</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highlight w:val="none"/>
              </w:rPr>
            </w:pPr>
            <w:r>
              <w:rPr>
                <w:rFonts w:hint="eastAsia" w:ascii="宋体" w:hAnsi="宋体" w:eastAsia="宋体" w:cs="宋体"/>
                <w:kern w:val="0"/>
                <w:sz w:val="21"/>
                <w:szCs w:val="21"/>
                <w:highlight w:val="none"/>
              </w:rPr>
              <w:t>实验时不能脱岗，通宵实验须两人在场并有事先审批制度</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7.3.2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实验台面整洁、实验记录规范</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查看实验台面和实验记录</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8</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8.1</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危险化学品购置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8.1.1</w:t>
            </w:r>
          </w:p>
        </w:tc>
        <w:tc>
          <w:tcPr>
            <w:tcW w:w="4613" w:type="dxa"/>
            <w:tcMar>
              <w:left w:w="45" w:type="dxa"/>
              <w:right w:w="45" w:type="dxa"/>
            </w:tcMar>
            <w:vAlign w:val="center"/>
          </w:tcPr>
          <w:p>
            <w:pPr>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危险化学品采购需要符合要求</w:t>
            </w:r>
          </w:p>
        </w:tc>
        <w:tc>
          <w:tcPr>
            <w:tcW w:w="7536" w:type="dxa"/>
            <w:tcMar>
              <w:left w:w="45" w:type="dxa"/>
              <w:right w:w="45" w:type="dxa"/>
            </w:tcMar>
            <w:vAlign w:val="center"/>
          </w:tcPr>
          <w:p>
            <w:pPr>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危险化学品需向具有生产经营许可资质的单位进行购买，查看相关供应商的经营许可资质证书复印件</w:t>
            </w:r>
          </w:p>
        </w:tc>
        <w:tc>
          <w:tcPr>
            <w:tcW w:w="1874" w:type="dxa"/>
            <w:tcMar>
              <w:left w:w="45" w:type="dxa"/>
              <w:right w:w="45" w:type="dxa"/>
            </w:tcMar>
            <w:vAlign w:val="center"/>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8.1.2</w:t>
            </w:r>
          </w:p>
        </w:tc>
        <w:tc>
          <w:tcPr>
            <w:tcW w:w="4613" w:type="dxa"/>
            <w:tcMar>
              <w:left w:w="45" w:type="dxa"/>
              <w:right w:w="45" w:type="dxa"/>
            </w:tcMar>
            <w:vAlign w:val="center"/>
          </w:tcPr>
          <w:p>
            <w:pPr>
              <w:autoSpaceDE w:val="0"/>
              <w:autoSpaceDN w:val="0"/>
              <w:adjustRightInd w:val="0"/>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剧毒品、易制毒品、易制爆品、爆炸品的购买程序合规</w:t>
            </w:r>
          </w:p>
        </w:tc>
        <w:tc>
          <w:tcPr>
            <w:tcW w:w="7536" w:type="dxa"/>
            <w:tcMar>
              <w:left w:w="45" w:type="dxa"/>
              <w:right w:w="45" w:type="dxa"/>
            </w:tcMar>
            <w:vAlign w:val="center"/>
          </w:tcPr>
          <w:p>
            <w:pPr>
              <w:autoSpaceDE w:val="0"/>
              <w:autoSpaceDN w:val="0"/>
              <w:adjustRightInd w:val="0"/>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此类危险化学品购买前须经学校审批，报公安部门批准或备案后，向具有经营许可资质的单位购买；校职能部门保留资料、建立档案；不得私自从外单位获取管控化学品；查看向上级主管部门的报批记录和学校审批记录；购买此类危险化学品应有规范的验收记录</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rPr>
              <w:t>实验室采购易制毒、易制爆和剧毒化学品时，应严格按照《易制毒化学品管理条例》、《易制爆危险化学品治安管理办法》、《剧毒化学品购买和公路运输许可证件管理办法》的要求执行</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8.1.3</w:t>
            </w:r>
          </w:p>
        </w:tc>
        <w:tc>
          <w:tcPr>
            <w:tcW w:w="4613" w:type="dxa"/>
            <w:tcMar>
              <w:left w:w="45" w:type="dxa"/>
              <w:right w:w="45" w:type="dxa"/>
            </w:tcMar>
            <w:vAlign w:val="center"/>
          </w:tcPr>
          <w:p>
            <w:pPr>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麻醉药品、精神药品等购买前须向食品药品监督管理部门申请</w:t>
            </w:r>
          </w:p>
        </w:tc>
        <w:tc>
          <w:tcPr>
            <w:tcW w:w="7536" w:type="dxa"/>
            <w:tcMar>
              <w:left w:w="45" w:type="dxa"/>
              <w:right w:w="45" w:type="dxa"/>
            </w:tcMar>
            <w:vAlign w:val="center"/>
          </w:tcPr>
          <w:p>
            <w:pPr>
              <w:spacing w:line="240" w:lineRule="auto"/>
              <w:jc w:val="left"/>
              <w:rPr>
                <w:rFonts w:hint="eastAsia" w:ascii="宋体" w:hAnsi="宋体" w:eastAsia="宋体" w:cs="宋体"/>
                <w:b/>
                <w:bCs/>
                <w:kern w:val="0"/>
                <w:sz w:val="21"/>
                <w:szCs w:val="21"/>
              </w:rPr>
            </w:pPr>
            <w:r>
              <w:rPr>
                <w:rFonts w:hint="eastAsia" w:ascii="宋体" w:hAnsi="宋体" w:eastAsia="宋体" w:cs="宋体"/>
                <w:kern w:val="0"/>
                <w:sz w:val="21"/>
                <w:szCs w:val="21"/>
              </w:rPr>
              <w:t>报批同意后向定点供应商或者定点生产企业采购</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8.1.4</w:t>
            </w:r>
          </w:p>
        </w:tc>
        <w:tc>
          <w:tcPr>
            <w:tcW w:w="4613" w:type="dxa"/>
            <w:tcMar>
              <w:left w:w="45" w:type="dxa"/>
              <w:right w:w="45" w:type="dxa"/>
            </w:tcMar>
            <w:vAlign w:val="center"/>
          </w:tcPr>
          <w:p>
            <w:pPr>
              <w:autoSpaceDE w:val="0"/>
              <w:autoSpaceDN w:val="0"/>
              <w:adjustRightInd w:val="0"/>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保障化学品、气体运输安全</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查看资料，现场抽查。校园内的运输车辆、运送人员、送货方式等符合相关规范</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8.1.5</w:t>
            </w:r>
          </w:p>
        </w:tc>
        <w:tc>
          <w:tcPr>
            <w:tcW w:w="4613" w:type="dxa"/>
            <w:tcMar>
              <w:left w:w="45" w:type="dxa"/>
              <w:right w:w="45" w:type="dxa"/>
            </w:tcMar>
            <w:vAlign w:val="center"/>
          </w:tcPr>
          <w:p>
            <w:pPr>
              <w:autoSpaceDE w:val="0"/>
              <w:autoSpaceDN w:val="0"/>
              <w:adjustRightInd w:val="0"/>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rPr>
              <w:t>实验室应建立化学品（包括气瓶）采购、使用、贮存和处理（回收、销毁等）台账，并保留所有相关记录</w:t>
            </w:r>
          </w:p>
        </w:tc>
        <w:tc>
          <w:tcPr>
            <w:tcW w:w="7536" w:type="dxa"/>
            <w:tcMar>
              <w:left w:w="45" w:type="dxa"/>
              <w:right w:w="45" w:type="dxa"/>
            </w:tcMar>
            <w:vAlign w:val="center"/>
          </w:tcPr>
          <w:p>
            <w:pPr>
              <w:autoSpaceDE w:val="0"/>
              <w:autoSpaceDN w:val="0"/>
              <w:adjustRightInd w:val="0"/>
              <w:spacing w:line="240" w:lineRule="auto"/>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查看相关台账</w:t>
            </w:r>
            <w:r>
              <w:rPr>
                <w:rFonts w:hint="eastAsia" w:ascii="宋体" w:hAnsi="宋体" w:cs="宋体"/>
                <w:kern w:val="0"/>
                <w:sz w:val="21"/>
                <w:szCs w:val="21"/>
                <w:lang w:val="en-US" w:eastAsia="zh-CN"/>
              </w:rPr>
              <w:t>。</w:t>
            </w:r>
          </w:p>
          <w:p>
            <w:pPr>
              <w:autoSpaceDE w:val="0"/>
              <w:autoSpaceDN w:val="0"/>
              <w:adjustRightInd w:val="0"/>
              <w:spacing w:line="240" w:lineRule="auto"/>
              <w:jc w:val="left"/>
              <w:rPr>
                <w:rFonts w:hint="eastAsia" w:ascii="宋体" w:hAnsi="宋体" w:eastAsia="宋体" w:cs="宋体"/>
                <w:kern w:val="0"/>
                <w:sz w:val="21"/>
                <w:szCs w:val="21"/>
                <w:lang w:val="en-US"/>
              </w:rPr>
            </w:pPr>
            <w:r>
              <w:rPr>
                <w:rFonts w:hint="eastAsia" w:ascii="宋体" w:hAnsi="宋体" w:eastAsia="宋体" w:cs="宋体"/>
                <w:kern w:val="0"/>
                <w:sz w:val="21"/>
                <w:szCs w:val="21"/>
                <w:lang w:val="en-US"/>
              </w:rPr>
              <w:t>气瓶使用台账可记录使用前后气体压力值，若持续使用气瓶，可每天记录一次。</w:t>
            </w:r>
          </w:p>
          <w:p>
            <w:pPr>
              <w:autoSpaceDE w:val="0"/>
              <w:autoSpaceDN w:val="0"/>
              <w:adjustRightInd w:val="0"/>
              <w:spacing w:line="240" w:lineRule="auto"/>
              <w:jc w:val="left"/>
              <w:rPr>
                <w:rFonts w:hint="eastAsia" w:ascii="宋体" w:hAnsi="宋体" w:eastAsia="宋体" w:cs="宋体"/>
                <w:kern w:val="0"/>
                <w:sz w:val="21"/>
                <w:szCs w:val="21"/>
                <w:lang w:val="en-US"/>
              </w:rPr>
            </w:pPr>
            <w:r>
              <w:rPr>
                <w:rFonts w:hint="eastAsia" w:ascii="宋体" w:hAnsi="宋体" w:eastAsia="宋体" w:cs="宋体"/>
                <w:kern w:val="0"/>
                <w:sz w:val="21"/>
                <w:szCs w:val="21"/>
                <w:lang w:val="en-US"/>
              </w:rPr>
              <w:t>实验室采购危险化学品时，应索取安全技术说明书和安全标签（以下称“一书一签”），不得采购无“一书一签”的危险化学品。</w:t>
            </w:r>
          </w:p>
          <w:p>
            <w:pPr>
              <w:autoSpaceDE w:val="0"/>
              <w:autoSpaceDN w:val="0"/>
              <w:adjustRightInd w:val="0"/>
              <w:spacing w:line="240" w:lineRule="auto"/>
              <w:jc w:val="left"/>
              <w:rPr>
                <w:rFonts w:hint="eastAsia" w:ascii="宋体" w:hAnsi="宋体" w:eastAsia="宋体" w:cs="宋体"/>
                <w:kern w:val="0"/>
                <w:sz w:val="21"/>
                <w:szCs w:val="21"/>
                <w:lang w:val="en-US"/>
              </w:rPr>
            </w:pPr>
            <w:r>
              <w:rPr>
                <w:rFonts w:hint="eastAsia" w:ascii="宋体" w:hAnsi="宋体" w:eastAsia="宋体" w:cs="宋体"/>
                <w:kern w:val="0"/>
                <w:sz w:val="21"/>
                <w:szCs w:val="21"/>
                <w:lang w:val="en-US"/>
              </w:rPr>
              <w:t>实验室应从具有气瓶充装许可证的单位采购瓶装气体</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8.1.6</w:t>
            </w:r>
          </w:p>
        </w:tc>
        <w:tc>
          <w:tcPr>
            <w:tcW w:w="4613" w:type="dxa"/>
            <w:tcMar>
              <w:left w:w="45" w:type="dxa"/>
              <w:right w:w="45" w:type="dxa"/>
            </w:tcMar>
            <w:vAlign w:val="center"/>
          </w:tcPr>
          <w:p>
            <w:pPr>
              <w:autoSpaceDE w:val="0"/>
              <w:autoSpaceDN w:val="0"/>
              <w:adjustRightInd w:val="0"/>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实验室采购的化学品应验收合格后方可入库</w:t>
            </w:r>
          </w:p>
        </w:tc>
        <w:tc>
          <w:tcPr>
            <w:tcW w:w="7536" w:type="dxa"/>
            <w:tcMar>
              <w:left w:w="45" w:type="dxa"/>
              <w:right w:w="45" w:type="dxa"/>
            </w:tcMar>
            <w:vAlign w:val="center"/>
          </w:tcPr>
          <w:p>
            <w:pPr>
              <w:autoSpaceDE w:val="0"/>
              <w:autoSpaceDN w:val="0"/>
              <w:adjustRightInd w:val="0"/>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实验室应严格检查化学品名称、数量、包装、“一书一签”，确认完好后登记入库贮存。</w:t>
            </w:r>
          </w:p>
          <w:p>
            <w:pPr>
              <w:autoSpaceDE w:val="0"/>
              <w:autoSpaceDN w:val="0"/>
              <w:adjustRightInd w:val="0"/>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气瓶应按照规定进行漆色、标注气体名称和涂刷横条。</w:t>
            </w:r>
          </w:p>
          <w:p>
            <w:pPr>
              <w:autoSpaceDE w:val="0"/>
              <w:autoSpaceDN w:val="0"/>
              <w:adjustRightInd w:val="0"/>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气瓶上应有符合安全技术规范及国家标准规定的警示标签和充装标签。</w:t>
            </w:r>
          </w:p>
          <w:p>
            <w:pPr>
              <w:autoSpaceDE w:val="0"/>
              <w:autoSpaceDN w:val="0"/>
              <w:adjustRightInd w:val="0"/>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使用的气瓶应有合格证，并应由有资质的气瓶检验机构进行定期检验，且在检验有效期内，合格证和检验报告由产权单位保留</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8.2</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实验室化学品存放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8.2.1</w:t>
            </w:r>
          </w:p>
        </w:tc>
        <w:tc>
          <w:tcPr>
            <w:tcW w:w="4613" w:type="dxa"/>
            <w:tcMar>
              <w:left w:w="45" w:type="dxa"/>
              <w:right w:w="45" w:type="dxa"/>
            </w:tcMar>
            <w:vAlign w:val="center"/>
          </w:tcPr>
          <w:p>
            <w:pPr>
              <w:widowControl/>
              <w:spacing w:line="240" w:lineRule="auto"/>
              <w:rPr>
                <w:rFonts w:hint="eastAsia" w:ascii="宋体" w:hAnsi="宋体" w:eastAsia="宋体" w:cs="宋体"/>
                <w:b/>
                <w:kern w:val="0"/>
                <w:sz w:val="21"/>
                <w:szCs w:val="21"/>
              </w:rPr>
            </w:pPr>
            <w:r>
              <w:rPr>
                <w:rFonts w:hint="eastAsia" w:ascii="宋体" w:hAnsi="宋体" w:eastAsia="宋体" w:cs="宋体"/>
                <w:kern w:val="0"/>
                <w:sz w:val="21"/>
                <w:szCs w:val="21"/>
              </w:rPr>
              <w:t>实验室内危险化学品建有动态台账</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建立本实验室危险化学品目录，并有危险化学品安全技术说明书（MSDS）或安全周知卡，方便查阅；定期清理过期药品，无累积现象</w:t>
            </w:r>
          </w:p>
        </w:tc>
        <w:tc>
          <w:tcPr>
            <w:tcW w:w="1874" w:type="dxa"/>
            <w:tcMar>
              <w:left w:w="45" w:type="dxa"/>
              <w:right w:w="45" w:type="dxa"/>
            </w:tcMar>
            <w:vAlign w:val="center"/>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8.2.2</w:t>
            </w:r>
          </w:p>
        </w:tc>
        <w:tc>
          <w:tcPr>
            <w:tcW w:w="4613" w:type="dxa"/>
            <w:tcMar>
              <w:left w:w="45" w:type="dxa"/>
              <w:right w:w="45" w:type="dxa"/>
            </w:tcMar>
            <w:vAlign w:val="center"/>
          </w:tcPr>
          <w:p>
            <w:pPr>
              <w:widowControl/>
              <w:spacing w:line="240" w:lineRule="auto"/>
              <w:rPr>
                <w:rFonts w:hint="eastAsia" w:ascii="宋体" w:hAnsi="宋体" w:eastAsia="宋体" w:cs="宋体"/>
                <w:sz w:val="21"/>
                <w:szCs w:val="21"/>
              </w:rPr>
            </w:pPr>
            <w:r>
              <w:rPr>
                <w:rFonts w:hint="eastAsia" w:ascii="宋体" w:hAnsi="宋体" w:eastAsia="宋体" w:cs="宋体"/>
                <w:sz w:val="21"/>
                <w:szCs w:val="21"/>
              </w:rPr>
              <w:t>化学品有专用存放空间并科学有序存放</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sz w:val="21"/>
                <w:szCs w:val="21"/>
              </w:rPr>
              <w:t>储藏室、储藏区、储存柜等</w:t>
            </w:r>
            <w:r>
              <w:rPr>
                <w:rFonts w:hint="eastAsia" w:ascii="宋体" w:hAnsi="宋体" w:eastAsia="宋体" w:cs="宋体"/>
                <w:bCs/>
                <w:kern w:val="0"/>
                <w:sz w:val="21"/>
                <w:szCs w:val="21"/>
              </w:rPr>
              <w:t>应</w:t>
            </w:r>
            <w:r>
              <w:rPr>
                <w:rFonts w:hint="eastAsia" w:ascii="宋体" w:hAnsi="宋体" w:eastAsia="宋体" w:cs="宋体"/>
                <w:kern w:val="0"/>
                <w:sz w:val="21"/>
                <w:szCs w:val="21"/>
              </w:rPr>
              <w:t>通风、隔热、避光、安全；有机溶剂储存区应远离热源和火源；易泄漏、易挥发的试剂保证充足的通风；试剂柜中不能有电源插座或接线板；化学品有序分类存放、固体液体不混乱放置、配伍禁忌化学品不得混放、试剂不得叠放；装有试剂的试剂瓶不得开口放置；配备必要的二次泄漏防护、吸附或防溢流功能；实验台架无挡板不得存放化学试剂</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8.2.3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实验室内存放的危险化学品总量符合规定要求</w:t>
            </w:r>
          </w:p>
        </w:tc>
        <w:tc>
          <w:tcPr>
            <w:tcW w:w="7536" w:type="dxa"/>
            <w:tcMar>
              <w:left w:w="45" w:type="dxa"/>
              <w:right w:w="45" w:type="dxa"/>
            </w:tcMar>
            <w:vAlign w:val="center"/>
          </w:tcPr>
          <w:p>
            <w:pPr>
              <w:spacing w:line="240" w:lineRule="auto"/>
              <w:rPr>
                <w:rFonts w:hint="eastAsia" w:ascii="宋体" w:hAnsi="宋体" w:eastAsia="宋体" w:cs="宋体"/>
                <w:bCs/>
                <w:kern w:val="0"/>
                <w:sz w:val="21"/>
                <w:szCs w:val="21"/>
              </w:rPr>
            </w:pPr>
            <w:r>
              <w:rPr>
                <w:rFonts w:hint="eastAsia" w:ascii="宋体" w:hAnsi="宋体" w:eastAsia="宋体" w:cs="宋体"/>
                <w:kern w:val="0"/>
                <w:sz w:val="21"/>
                <w:szCs w:val="21"/>
              </w:rPr>
              <w:t>原则上不应超过100公升或100千克，其中易燃易爆性化学品的存放总量不应超过50公升或50千克，且单一包装容器不应大于20公升或20千克（可</w:t>
            </w:r>
            <w:r>
              <w:rPr>
                <w:rFonts w:hint="eastAsia" w:ascii="宋体" w:hAnsi="宋体" w:eastAsia="宋体" w:cs="宋体"/>
                <w:bCs/>
                <w:kern w:val="0"/>
                <w:sz w:val="21"/>
                <w:szCs w:val="21"/>
              </w:rPr>
              <w:t>按</w:t>
            </w:r>
            <w:r>
              <w:rPr>
                <w:rFonts w:hint="eastAsia" w:ascii="宋体" w:hAnsi="宋体" w:eastAsia="宋体" w:cs="宋体"/>
                <w:kern w:val="0"/>
                <w:sz w:val="21"/>
                <w:szCs w:val="21"/>
              </w:rPr>
              <w:t>50平方米</w:t>
            </w:r>
            <w:r>
              <w:rPr>
                <w:rFonts w:hint="eastAsia" w:ascii="宋体" w:hAnsi="宋体" w:eastAsia="宋体" w:cs="宋体"/>
                <w:bCs/>
                <w:kern w:val="0"/>
                <w:sz w:val="21"/>
                <w:szCs w:val="21"/>
              </w:rPr>
              <w:t>为</w:t>
            </w:r>
            <w:r>
              <w:rPr>
                <w:rFonts w:hint="eastAsia" w:ascii="宋体" w:hAnsi="宋体" w:eastAsia="宋体" w:cs="宋体"/>
                <w:kern w:val="0"/>
                <w:sz w:val="21"/>
                <w:szCs w:val="21"/>
              </w:rPr>
              <w:t>标准，存放量以</w:t>
            </w:r>
            <w:r>
              <w:rPr>
                <w:rFonts w:hint="eastAsia" w:ascii="宋体" w:hAnsi="宋体" w:eastAsia="宋体" w:cs="宋体"/>
                <w:bCs/>
                <w:kern w:val="0"/>
                <w:sz w:val="21"/>
                <w:szCs w:val="21"/>
              </w:rPr>
              <w:t>实验室</w:t>
            </w:r>
            <w:r>
              <w:rPr>
                <w:rFonts w:hint="eastAsia" w:ascii="宋体" w:hAnsi="宋体" w:eastAsia="宋体" w:cs="宋体"/>
                <w:kern w:val="0"/>
                <w:sz w:val="21"/>
                <w:szCs w:val="21"/>
              </w:rPr>
              <w:t>面积比考察）；单个实验装置存在10公升以上甲类物质储罐，或20公升以上乙类物质储罐，或50公升以上丙类物质储罐，需加装泄露报警器及通风联动装置。可</w:t>
            </w:r>
            <w:r>
              <w:rPr>
                <w:rFonts w:hint="eastAsia" w:ascii="宋体" w:hAnsi="宋体" w:eastAsia="宋体" w:cs="宋体"/>
                <w:bCs/>
                <w:kern w:val="0"/>
                <w:sz w:val="21"/>
                <w:szCs w:val="21"/>
              </w:rPr>
              <w:t>按</w:t>
            </w:r>
            <w:r>
              <w:rPr>
                <w:rFonts w:hint="eastAsia" w:ascii="宋体" w:hAnsi="宋体" w:eastAsia="宋体" w:cs="宋体"/>
                <w:kern w:val="0"/>
                <w:sz w:val="21"/>
                <w:szCs w:val="21"/>
              </w:rPr>
              <w:t>50平方米</w:t>
            </w:r>
            <w:r>
              <w:rPr>
                <w:rFonts w:hint="eastAsia" w:ascii="宋体" w:hAnsi="宋体" w:eastAsia="宋体" w:cs="宋体"/>
                <w:bCs/>
                <w:kern w:val="0"/>
                <w:sz w:val="21"/>
                <w:szCs w:val="21"/>
              </w:rPr>
              <w:t>为</w:t>
            </w:r>
            <w:r>
              <w:rPr>
                <w:rFonts w:hint="eastAsia" w:ascii="宋体" w:hAnsi="宋体" w:eastAsia="宋体" w:cs="宋体"/>
                <w:kern w:val="0"/>
                <w:sz w:val="21"/>
                <w:szCs w:val="21"/>
              </w:rPr>
              <w:t>标准，存放量以</w:t>
            </w:r>
            <w:r>
              <w:rPr>
                <w:rFonts w:hint="eastAsia" w:ascii="宋体" w:hAnsi="宋体" w:eastAsia="宋体" w:cs="宋体"/>
                <w:bCs/>
                <w:kern w:val="0"/>
                <w:sz w:val="21"/>
                <w:szCs w:val="21"/>
              </w:rPr>
              <w:t>实验室</w:t>
            </w:r>
            <w:r>
              <w:rPr>
                <w:rFonts w:hint="eastAsia" w:ascii="宋体" w:hAnsi="宋体" w:eastAsia="宋体" w:cs="宋体"/>
                <w:kern w:val="0"/>
                <w:sz w:val="21"/>
                <w:szCs w:val="21"/>
              </w:rPr>
              <w:t>面积比考察</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8.2.4</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化学品标签应显著完整清晰</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化学品包装物上应有符合规定的化学品标签；当化学品由原包装物转移或分装到其他包装物内时，转移或分装后的包装物应及时重新粘贴标识。化学品标签脱落、</w:t>
            </w:r>
            <w:r>
              <w:rPr>
                <w:rFonts w:hint="eastAsia" w:ascii="宋体" w:hAnsi="宋体" w:eastAsia="宋体" w:cs="宋体"/>
                <w:bCs/>
                <w:kern w:val="0"/>
                <w:sz w:val="21"/>
                <w:szCs w:val="21"/>
              </w:rPr>
              <w:t>模糊、腐蚀</w:t>
            </w:r>
            <w:r>
              <w:rPr>
                <w:rFonts w:hint="eastAsia" w:ascii="宋体" w:hAnsi="宋体" w:eastAsia="宋体" w:cs="宋体"/>
                <w:kern w:val="0"/>
                <w:sz w:val="21"/>
                <w:szCs w:val="21"/>
              </w:rPr>
              <w:t>后应及时补上，如不能确认，则以废弃化学品处置</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8.2.5</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lang w:val="en-US"/>
              </w:rPr>
              <w:t>贮存易燃、易爆危险化学品的建筑，应安装避雷设施，具体遵照GB50057的要求</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查看防雷检测报告</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8.2.6</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除贮存化学品房间外，每间实验室内存放的除压缩气体、液化气体、剧毒化学品和爆炸品以外的危险化学品总量不应超过1L/m2或1Kg/m2，其中易燃易爆性化学品的存放总量不应超过0.5L/m2或0.5Kg/m2，且单一包装容器不应大于25L或25Kg</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8.2.7</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实验室除贮存化学品房间外，其他房间暂时存放在安全柜或试剂柜以外的危化品总量液体不得超过0.2L/m2、固体不得超过0.2Kg/m2；实验台化学试剂架上应只暂放当天用量，用完后应放回安全柜或试剂柜中</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8.2.8</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危险化学品应参照相关规定进行贮存，且不得与禁忌物料混合贮存</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8.2.9</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压缩气体和液化气体应与爆炸物品、氧化剂、易燃物品、自燃物品、腐蚀性物品隔离贮存。盛装液化气体的容器属压力容器的，应有压力表、安全阀、紧急切断装置，并定期检查，不得超装</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8.2.10</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易燃气体不得与助燃气体、剧毒气体同存；氧气不得与油脂混合贮存；易燃液体、遇湿易燃物品、易燃固体不得与氧化剂混合贮存；氧化剂应单独存放</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8.2.11</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有毒、有害物质应贮存在阴凉、通风、干燥的场所，不得露天存放，不得接近酸类物质；腐蚀性物品，包装应严密，严禁泄漏，严禁与液化气体和其他物品共存</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8.2.12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实验室化学品柜上应有信息牌说明存放的类别、名称和数量</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8.2.13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危险化学品入库后应定期检查，发现化学品容器未关紧、破损、渗漏、标签不完整等时，应及时处理</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8.2.14</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危险化学品贮存区域的温度、湿度应严格控制，发现变化及时调整</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8.2.15</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贮存化学品的房间应有危险化学品安全技术说明书，且便于查看和索取；操作人员应掌握危险化学品的基本特性和应急处理方法</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vMerge w:val="restart"/>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8.2.16</w:t>
            </w:r>
          </w:p>
        </w:tc>
        <w:tc>
          <w:tcPr>
            <w:tcW w:w="4613" w:type="dxa"/>
            <w:vMerge w:val="restart"/>
            <w:tcMar>
              <w:left w:w="45" w:type="dxa"/>
              <w:right w:w="45" w:type="dxa"/>
            </w:tcMar>
            <w:vAlign w:val="center"/>
          </w:tcPr>
          <w:p>
            <w:pPr>
              <w:widowControl/>
              <w:spacing w:line="240" w:lineRule="auto"/>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气瓶搬运、装卸、储存和使用应符合GB/T34525-2017的相关规定</w:t>
            </w:r>
          </w:p>
        </w:tc>
        <w:tc>
          <w:tcPr>
            <w:tcW w:w="7536" w:type="dxa"/>
            <w:vMerge w:val="restart"/>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气瓶应放置于阴凉处的气瓶储存区域中并牢固固定。气瓶宜配有防震圈。不同种类的气瓶放置在同一气瓶柜之前应考虑两种气体的相互影响。</w:t>
            </w:r>
          </w:p>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需要在气瓶柜外使用的气瓶应直立固定在专用支架上。</w:t>
            </w:r>
          </w:p>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 xml:space="preserve"> 氧气气瓶不能与乙炔、CO、CH4等可燃性气体气瓶混放。</w:t>
            </w:r>
          </w:p>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 xml:space="preserve"> HCl、H2S、Cl2、CO等有毒、有害气体（低浓度的标准气体、计量用气体除外）气瓶应单独存放并在不远处配备正压式空气呼吸器。</w:t>
            </w:r>
          </w:p>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 xml:space="preserve"> 操作人员应保证气瓶在正常环境温度下使用，防止意外受热：不应将气瓶靠近热源，安放气瓶的地点周围10m范围内，不应进行有明火或可能产生火花的作业</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vMerge w:val="continue"/>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c>
          <w:tcPr>
            <w:tcW w:w="4613" w:type="dxa"/>
            <w:vMerge w:val="continue"/>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c>
          <w:tcPr>
            <w:tcW w:w="7536" w:type="dxa"/>
            <w:vMerge w:val="continue"/>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8.2.17</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危险化学品室外安全柜应符合TGDA00004-2021的相关规定</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8.2.18</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撬装加油装置应符合GB50156-2021、AQ/T3002-2021</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8.3</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实验操作安全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8.3.1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制定危险实验、危险化工工艺指导书、各类标准操作规程（SOP）、应急预案</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指导书和预案上墙或便于取阅；按照指导书进行实验；实验人员熟悉所涉及的危险性及应急处理措施</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8.3.</w:t>
            </w:r>
            <w:r>
              <w:rPr>
                <w:rFonts w:hint="eastAsia" w:ascii="宋体" w:hAnsi="宋体" w:cs="宋体"/>
                <w:kern w:val="0"/>
                <w:sz w:val="21"/>
                <w:szCs w:val="21"/>
                <w:lang w:val="en-US" w:eastAsia="zh-CN"/>
              </w:rPr>
              <w:t>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做好有毒有害废气的处理和防护</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对于产生有毒有害废气的实验，在通风柜中进行，并在实验装置尾端配有气体吸收装置；配备合适有效的呼吸器</w:t>
            </w:r>
          </w:p>
        </w:tc>
        <w:tc>
          <w:tcPr>
            <w:tcW w:w="1874"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8.3.3</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领用及使用危险化学品应填写领用及使用记录</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查看台账及现场检查</w:t>
            </w:r>
          </w:p>
        </w:tc>
        <w:tc>
          <w:tcPr>
            <w:tcW w:w="1874"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8.3.4</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化学品取用符合安全操作规程要求</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lang w:val="en-US"/>
              </w:rPr>
              <w:t>取用化学品时，应轻拿轻放，防止震动、撞击、倾倒和颠覆；用后应及时盖紧原瓶盖；禁止用手直接取用化学品；禁止化学品入口或直接接近瓶口鉴别</w:t>
            </w:r>
          </w:p>
        </w:tc>
        <w:tc>
          <w:tcPr>
            <w:tcW w:w="1874"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8.3.5</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气瓶使用符合</w:t>
            </w:r>
            <w:r>
              <w:rPr>
                <w:rFonts w:hint="eastAsia" w:ascii="宋体" w:hAnsi="宋体" w:eastAsia="宋体" w:cs="宋体"/>
                <w:kern w:val="0"/>
                <w:sz w:val="21"/>
                <w:szCs w:val="21"/>
                <w:lang w:val="en-US"/>
              </w:rPr>
              <w:t>GB/T34525-2017的相关规定</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lang w:val="en-US"/>
              </w:rPr>
              <w:t xml:space="preserve"> 气瓶应注明气体种类，并在气瓶柜或气瓶上设置“使用中”和“未使用”标识。气瓶应有阀门手轮或活扳手，气体管路连接根据介质的性质选用适当的材质，如使用铜、不锈钢等金属管线，或聚四氟乙烯、PEEK等塑料管线，并定期进行泄漏检查。气瓶不使用时应安装上安全保护帽</w:t>
            </w:r>
          </w:p>
        </w:tc>
        <w:tc>
          <w:tcPr>
            <w:tcW w:w="1874"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8.4</w:t>
            </w:r>
          </w:p>
        </w:tc>
        <w:tc>
          <w:tcPr>
            <w:tcW w:w="14023" w:type="dxa"/>
            <w:gridSpan w:val="3"/>
            <w:tcMar>
              <w:left w:w="45" w:type="dxa"/>
              <w:right w:w="45" w:type="dxa"/>
            </w:tcMar>
            <w:vAlign w:val="center"/>
          </w:tcPr>
          <w:p>
            <w:pPr>
              <w:spacing w:line="240" w:lineRule="auto"/>
              <w:jc w:val="left"/>
              <w:rPr>
                <w:rFonts w:hint="eastAsia" w:ascii="宋体" w:hAnsi="宋体" w:eastAsia="宋体" w:cs="宋体"/>
                <w:b/>
                <w:sz w:val="21"/>
                <w:szCs w:val="21"/>
              </w:rPr>
            </w:pPr>
            <w:r>
              <w:rPr>
                <w:rFonts w:hint="eastAsia" w:ascii="宋体" w:hAnsi="宋体" w:eastAsia="宋体" w:cs="宋体"/>
                <w:b/>
                <w:kern w:val="0"/>
                <w:sz w:val="21"/>
                <w:szCs w:val="21"/>
              </w:rPr>
              <w:t>管制类化学品管理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8.4.1</w:t>
            </w:r>
          </w:p>
        </w:tc>
        <w:tc>
          <w:tcPr>
            <w:tcW w:w="4613" w:type="dxa"/>
            <w:tcMar>
              <w:left w:w="45" w:type="dxa"/>
              <w:right w:w="45" w:type="dxa"/>
            </w:tcMar>
            <w:vAlign w:val="center"/>
          </w:tcPr>
          <w:p>
            <w:pPr>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剧毒化学品执行“五双”管理</w:t>
            </w:r>
            <w:r>
              <w:rPr>
                <w:rFonts w:hint="eastAsia" w:ascii="宋体" w:hAnsi="宋体" w:eastAsia="宋体" w:cs="宋体"/>
                <w:bCs/>
                <w:kern w:val="0"/>
                <w:sz w:val="21"/>
                <w:szCs w:val="21"/>
              </w:rPr>
              <w:t>（即双人验收、双人保管、双人发货、双把锁、双本账）</w:t>
            </w:r>
            <w:r>
              <w:rPr>
                <w:rFonts w:hint="eastAsia" w:ascii="宋体" w:hAnsi="宋体" w:eastAsia="宋体" w:cs="宋体"/>
                <w:kern w:val="0"/>
                <w:sz w:val="21"/>
                <w:szCs w:val="21"/>
              </w:rPr>
              <w:t>，技防措施符合管制要求</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单独存放、不得与易燃、易爆、腐蚀性物品等―起存放；有专人管理并做好贮存、领取、发放情况登记，登记资料至少保存1年；防盗安全门应符合GB17565的要求，防盗安全级别为乙级(含)以上；防盗锁应符合GA/T73的要求；防盗保险柜应符合《防盗保险柜》GB10409-2001的要求；监控管控执行公安要求</w:t>
            </w:r>
          </w:p>
        </w:tc>
        <w:tc>
          <w:tcPr>
            <w:tcW w:w="1874"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8.4.2</w:t>
            </w:r>
          </w:p>
        </w:tc>
        <w:tc>
          <w:tcPr>
            <w:tcW w:w="4613" w:type="dxa"/>
            <w:tcMar>
              <w:left w:w="45" w:type="dxa"/>
              <w:right w:w="45" w:type="dxa"/>
            </w:tcMar>
            <w:vAlign w:val="center"/>
          </w:tcPr>
          <w:p>
            <w:pPr>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麻醉药品和第一类精神药品管理符合“双人双锁”，有专用账册</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设立专库或者专柜储存；专库应当设有防盗设施并安装报警装置；专柜应当使用保险柜；专库和专柜应当实行双人双锁管理；配备专人管理并建立专用账册，专用账册的保存期限应当自药品有效期期满之日起不少于5年</w:t>
            </w:r>
          </w:p>
        </w:tc>
        <w:tc>
          <w:tcPr>
            <w:tcW w:w="1874"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8.4.3</w:t>
            </w:r>
          </w:p>
        </w:tc>
        <w:tc>
          <w:tcPr>
            <w:tcW w:w="4613" w:type="dxa"/>
            <w:tcMar>
              <w:left w:w="45" w:type="dxa"/>
              <w:right w:w="45" w:type="dxa"/>
            </w:tcMar>
            <w:vAlign w:val="center"/>
          </w:tcPr>
          <w:p>
            <w:pPr>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易制爆化学品存量合规、双人双锁</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存放场所出入口应设置防盗安全门，或存放在专用储存柜内；储存场所防盗安全级别应为乙级（含）以上；专用储存柜应具有防盗功能，符合双人双锁管理要求，并安装机械防盗锁</w:t>
            </w:r>
          </w:p>
        </w:tc>
        <w:tc>
          <w:tcPr>
            <w:tcW w:w="1874"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8.4.4</w:t>
            </w:r>
          </w:p>
        </w:tc>
        <w:tc>
          <w:tcPr>
            <w:tcW w:w="4613" w:type="dxa"/>
            <w:tcMar>
              <w:left w:w="45" w:type="dxa"/>
              <w:right w:w="45" w:type="dxa"/>
            </w:tcMar>
            <w:vAlign w:val="center"/>
          </w:tcPr>
          <w:p>
            <w:pPr>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易制毒化学品储存规范，台账清晰</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设置专库或者专柜储存；专库应当设有防盗设施，专柜应当使用保险柜；第一类易制毒化学品、药品类易制毒化学品实现双人双锁管理，账册保存期限不少于2年</w:t>
            </w:r>
          </w:p>
        </w:tc>
        <w:tc>
          <w:tcPr>
            <w:tcW w:w="1874"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8.4.5</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易制毒取用规范，不得一人进行</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lang w:val="en-US"/>
              </w:rPr>
              <w:t>易制毒、易制爆与剧毒化学品的领取，应由两人以当日实验的用量领取，如有剩余应在当日退回，并填写相关记录。使用易制毒、易制爆与剧毒化学品时，应有两人以上方可进行，一人操作，一人监护。操作时应考虑危险化学品的特性并按照仪器/设备操作规程执行</w:t>
            </w:r>
          </w:p>
        </w:tc>
        <w:tc>
          <w:tcPr>
            <w:tcW w:w="1874"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8.4.</w:t>
            </w:r>
            <w:r>
              <w:rPr>
                <w:rFonts w:hint="eastAsia" w:ascii="宋体" w:hAnsi="宋体" w:cs="宋体"/>
                <w:kern w:val="0"/>
                <w:sz w:val="21"/>
                <w:szCs w:val="21"/>
                <w:lang w:val="en-US" w:eastAsia="zh-CN"/>
              </w:rPr>
              <w:t>6</w:t>
            </w:r>
          </w:p>
        </w:tc>
        <w:tc>
          <w:tcPr>
            <w:tcW w:w="4613" w:type="dxa"/>
            <w:tcMar>
              <w:left w:w="45" w:type="dxa"/>
              <w:right w:w="45" w:type="dxa"/>
            </w:tcMar>
            <w:vAlign w:val="center"/>
          </w:tcPr>
          <w:p>
            <w:pPr>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爆炸品单独隔离、限量存储，使用、销毁按照公安部门要求执行</w:t>
            </w:r>
          </w:p>
        </w:tc>
        <w:tc>
          <w:tcPr>
            <w:tcW w:w="7536" w:type="dxa"/>
            <w:tcMar>
              <w:left w:w="45" w:type="dxa"/>
              <w:right w:w="45" w:type="dxa"/>
            </w:tcMar>
            <w:vAlign w:val="center"/>
          </w:tcPr>
          <w:p>
            <w:pPr>
              <w:pStyle w:val="17"/>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查看现场</w:t>
            </w:r>
            <w:r>
              <w:rPr>
                <w:rFonts w:hint="eastAsia" w:ascii="宋体" w:hAnsi="宋体" w:eastAsia="宋体" w:cs="宋体"/>
                <w:kern w:val="0"/>
                <w:sz w:val="21"/>
                <w:szCs w:val="21"/>
                <w:lang w:val="en-US" w:eastAsia="zh-CN" w:bidi="ar-SA"/>
              </w:rPr>
              <w:t>、台账。教学、科研、医疗、测试等易制爆危险化学品使用单位，可使用储存室或者储存柜储存易制爆危险化学品，单个储存室或者储存柜储存量应当在50公斤以下。易制爆危险化学品应当按照国家有关标准和规范要求，储存在封闭式、半封闭式或者露天式危险化学品专用储存场所内，并根据危险品性能分区、分类、分库储存。易制爆危险化学品储存场所应当按照国家有关标准和规范要求，设置相应的人力防范、实体防范、技术防范等治安防范设施，防止易制爆危险化学品丢失、被盗、被抢。易制爆危险化学品从业单位应当建立易制爆危险化学品出入库检查、登记制度，定期核对易制爆危险化学品存放情况。易制爆危险化学品丢失、被盗、被抢的，应当立即报告公安机关。易制爆危险化学品储存场所(储存室、储存柜除外)治安防范状况应当纳入单位安全评价的内容，经安全评价合格后方可使用</w:t>
            </w:r>
          </w:p>
        </w:tc>
        <w:tc>
          <w:tcPr>
            <w:tcW w:w="1874"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8.5</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8.5.1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从合格供应商处采购实验气体，建立气体钢瓶台账</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查看记录</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8.5.2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气体的存放和使用符合相关要求</w:t>
            </w:r>
          </w:p>
        </w:tc>
        <w:tc>
          <w:tcPr>
            <w:tcW w:w="7536" w:type="dxa"/>
            <w:tcMar>
              <w:left w:w="45" w:type="dxa"/>
              <w:right w:w="45" w:type="dxa"/>
            </w:tcMar>
            <w:vAlign w:val="center"/>
          </w:tcPr>
          <w:p>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气体钢瓶存放点须通风、远离热源、</w:t>
            </w:r>
            <w:r>
              <w:rPr>
                <w:rFonts w:hint="eastAsia" w:ascii="宋体" w:hAnsi="宋体" w:eastAsia="宋体" w:cs="宋体"/>
                <w:sz w:val="21"/>
                <w:szCs w:val="21"/>
              </w:rPr>
              <w:t>避免暴晒，地面平整干燥；</w:t>
            </w:r>
            <w:r>
              <w:rPr>
                <w:rFonts w:hint="eastAsia" w:ascii="宋体" w:hAnsi="宋体" w:eastAsia="宋体" w:cs="宋体"/>
                <w:kern w:val="0"/>
                <w:sz w:val="21"/>
                <w:szCs w:val="21"/>
              </w:rPr>
              <w:t>气瓶应合理固定；；</w:t>
            </w:r>
          </w:p>
          <w:p>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危险气体钢瓶尽量置于室外，室内放置应使用常时排风且带报警探头的气瓶柜；</w:t>
            </w:r>
          </w:p>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气瓶的存放应控制在最小需求量；涉及有毒、可燃气体的场所，配有通风设施和相应的气体监控和报警装置等，张贴必要的安全警示标识；可燃性气体与氧气等助燃气体不混放；独立的气体钢瓶室，应通风、不混放、有监控，管路有标识、去向明确；有专人管理和记录</w:t>
            </w:r>
          </w:p>
        </w:tc>
        <w:tc>
          <w:tcPr>
            <w:tcW w:w="1874" w:type="dxa"/>
            <w:tcMar>
              <w:left w:w="45" w:type="dxa"/>
              <w:right w:w="45" w:type="dxa"/>
            </w:tcMar>
            <w:vAlign w:val="center"/>
          </w:tcPr>
          <w:p>
            <w:pPr>
              <w:spacing w:line="240" w:lineRule="auto"/>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8.5.3</w:t>
            </w:r>
          </w:p>
        </w:tc>
        <w:tc>
          <w:tcPr>
            <w:tcW w:w="4613" w:type="dxa"/>
            <w:tcMar>
              <w:left w:w="45" w:type="dxa"/>
              <w:right w:w="45" w:type="dxa"/>
            </w:tcMar>
            <w:vAlign w:val="center"/>
          </w:tcPr>
          <w:p>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较小密封空间使用可引起窒息的气体，需安装有氧含量监测，设置必要的气体报警装置</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sz w:val="21"/>
                <w:szCs w:val="21"/>
              </w:rPr>
              <w:t>存有大量惰性气体或液氮、CO</w:t>
            </w:r>
            <w:r>
              <w:rPr>
                <w:rFonts w:hint="eastAsia" w:ascii="宋体" w:hAnsi="宋体" w:eastAsia="宋体" w:cs="宋体"/>
                <w:sz w:val="21"/>
                <w:szCs w:val="21"/>
                <w:vertAlign w:val="subscript"/>
              </w:rPr>
              <w:t>2</w:t>
            </w:r>
            <w:r>
              <w:rPr>
                <w:rFonts w:hint="eastAsia" w:ascii="宋体" w:hAnsi="宋体" w:eastAsia="宋体" w:cs="宋体"/>
                <w:sz w:val="21"/>
                <w:szCs w:val="21"/>
              </w:rPr>
              <w:t>的较小密闭空间，为</w:t>
            </w:r>
            <w:r>
              <w:rPr>
                <w:rFonts w:hint="eastAsia" w:ascii="宋体" w:hAnsi="宋体" w:eastAsia="宋体" w:cs="宋体"/>
                <w:bCs/>
                <w:kern w:val="0"/>
                <w:sz w:val="21"/>
                <w:szCs w:val="21"/>
              </w:rPr>
              <w:t>防止大量泄漏或蒸发导致缺氧，</w:t>
            </w:r>
            <w:r>
              <w:rPr>
                <w:rFonts w:hint="eastAsia" w:ascii="宋体" w:hAnsi="宋体" w:eastAsia="宋体" w:cs="宋体"/>
                <w:sz w:val="21"/>
                <w:szCs w:val="21"/>
              </w:rPr>
              <w:t>需安装氧含量监测报警装置</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8.5.4</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气体管路和钢瓶连接正确、有清晰标识</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管路材质选择合适，无破损或老化现象，定期进行气密性检查；存在多条气体管路的房间须张贴详细的管路图；有钢瓶定期检验合格标识（由供应商负责）；无过期钢瓶、未使用的钢瓶有钢瓶帽；钢瓶气体合格证内容完整、正确，气瓶颜色符合GB/T 7144 的规定要求；确认“满、使用中、空瓶”三种状态；使用完毕，及时关闭气瓶总阀</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8.5.5</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气瓶柜应符合相关安全要求</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lang w:val="en-US"/>
              </w:rPr>
              <w:t>实验室应配备足够的气瓶柜或气瓶专用支架，以满足使用要求。</w:t>
            </w:r>
          </w:p>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lang w:val="en-US"/>
              </w:rPr>
              <w:t>气瓶柜应存放在阴凉、干燥、严禁明火、远离热源的房间。</w:t>
            </w:r>
          </w:p>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lang w:val="en-US"/>
              </w:rPr>
              <w:t>气瓶柜应定期作相关检验，包括但不限于：柜体外观有无损伤；柜体是否牢固稳定；门锁是否灵活；距火源等不安全因素的距离是否符合要求；如有电控功能、报警系统、排风系统等，需进行功能性核查。保存相关检验或试验记录。存放剧毒或高毒气体的气瓶柜应连接到通风装置</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6"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8.5.6</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气体管道设置应符合安全要求，</w:t>
            </w:r>
            <w:r>
              <w:rPr>
                <w:rFonts w:hint="eastAsia" w:ascii="宋体" w:hAnsi="宋体" w:eastAsia="宋体" w:cs="宋体"/>
                <w:kern w:val="0"/>
                <w:sz w:val="21"/>
                <w:szCs w:val="21"/>
                <w:lang w:val="en-US" w:eastAsia="zh-CN"/>
              </w:rPr>
              <w:t>气体管道设置应符合现行国家标准《城镇燃气设计规范》GB 50028、《压缩空气站设计规范》GB 50029、《氧气站设计规范》GB 50030和《氢气站设计规范》GB 50177等相关规定</w:t>
            </w:r>
          </w:p>
        </w:tc>
        <w:tc>
          <w:tcPr>
            <w:tcW w:w="7536" w:type="dxa"/>
            <w:tcMar>
              <w:left w:w="45" w:type="dxa"/>
              <w:right w:w="45" w:type="dxa"/>
            </w:tcMar>
            <w:vAlign w:val="top"/>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气体供应方式应符合下列规定：当采用瓶装气体供气时，宜集中设置气瓶间，采用管道供应。气瓶间宜单独设置或设在无危险性的辅助用房内; 压缩空气宜由自备空气压缩机提供，压缩机应集中设置;压缩机排气应设储气罐并做相应的空气处理;可燃气体及助燃气体的干管及支管宜明敷;可燃、助燃气体管道的放散管应引至室外并高出屋脊1m，放散管应设有防雷措施;可燃气体及助燃气体管道严禁穿过生活间、办公室;可燃气体及助燃气体的管道不宜穿过不使用该种气体的房间，当必须穿过时，应采取相应措施。</w:t>
            </w:r>
          </w:p>
          <w:p>
            <w:pPr>
              <w:widowControl/>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引入室内的各种气体管道支管宜明敷。当管道井、管道技术层内敷设有可燃气体管道时，应有6次/h，事故时不少于12次/h的通风措施。</w:t>
            </w:r>
          </w:p>
          <w:p>
            <w:pPr>
              <w:widowControl/>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 穿过实验室墙体或楼板的气体管道应设套管，套管内的管段不应有焊缝。管道与套管之间应采用非燃烧材料严密封堵。</w:t>
            </w:r>
          </w:p>
          <w:p>
            <w:pPr>
              <w:widowControl/>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 可燃、助燃气体管道应设放空管。放空管道应高出屋面1m或1m以上，并采取防雷措施。</w:t>
            </w:r>
          </w:p>
          <w:p>
            <w:pPr>
              <w:widowControl/>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可燃气体管道、助燃气体管道应有导除静电的接地装置。有接地要求的气体管道其接地和跨接措施应按国家现行有关标准执行。</w:t>
            </w:r>
          </w:p>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 xml:space="preserve"> 输送干燥气体的管道可无坡度敷设，输送潮湿气体的管道应有不小于0.3％的坡度，坡向冷凝液体收集器。室内气体管道间距应符合规定</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8.6</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化学废弃物处置管理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8.6.1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实验室应设立化学废弃物暂存区</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暂存区要远离火源、热源和不相容物质，避免日晒、雨淋，存放两种及以上不相容的实验室危险废物时，应分不同区域暂存；暂存区应有警示标识并有防遗洒、防渗漏设施或措施 </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8.6.2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实验室内须规范收集化学废弃物</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危险废物应按化学特性和危险特性，进行分类收集和暂存；废弃的化学试剂应存放在原试剂瓶中，保留原标签，并瓶口朝上放入专用固废箱中；针头等利器需放入利器盒中收集；废液应分类装入专用废液桶中，废液桶须满足耐腐蚀、抗溶剂、耐挤压、抗冲击的要求；所有实验室危险废物收集容器上须粘贴专用的标签。严禁将实验室危险废物直接排入下水道，严禁与生活垃圾、感染性废物或放射性废物等混装</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8.6.3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化学废弃物的转运须合规</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委托有危险废物处置资质的专业厂家集中处置化学废弃物；校外转运之前，贮存站必须妥善管理实验室危险废物，采取有效措施，防止废物的扩散、流失、渗漏或者产生交叉污染</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8.6.4</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学校应建设化学废弃物贮存站并规范管理</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贮存站应有具体的管理办法和安全应急预案，并将贮存站安全运行、实验室危险废物出站转运等日常管理工作落实到相关人员的岗位职责中；转运人员应使用专用运输工具，运输前根据运输废物的危险特性，应携带必要的应急物资和个人防护用具，如收集工具、手套、口罩等；贮存站管理员须作好实验室危险废物情况的记录；实验室危险废物的校外转运必须按照国家有关规定填写危险废物电子或者纸质转移联单，任何单位和个人未经许可不得非法转运</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b/>
                <w:bCs/>
                <w:kern w:val="0"/>
                <w:sz w:val="21"/>
                <w:szCs w:val="21"/>
              </w:rPr>
              <w:t>8.7</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危化品仓库与废弃物贮存站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8.7.1</w:t>
            </w:r>
          </w:p>
        </w:tc>
        <w:tc>
          <w:tcPr>
            <w:tcW w:w="4613" w:type="dxa"/>
            <w:tcMar>
              <w:left w:w="45" w:type="dxa"/>
              <w:right w:w="45" w:type="dxa"/>
            </w:tcMar>
            <w:vAlign w:val="center"/>
          </w:tcPr>
          <w:p>
            <w:pPr>
              <w:widowControl/>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学校建有危险品仓库、化学实验废弃物贮存站，对废弃物集中定点存放</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危险品仓库、化学实验废弃物贮存站须有通风、隔热、避光、防盗、防爆、防静电、泄露报警、应急喷淋、安全警示标识等技防措施，符合相关规定，专人管理；消防</w:t>
            </w:r>
            <w:r>
              <w:rPr>
                <w:rFonts w:hint="eastAsia" w:ascii="宋体" w:hAnsi="宋体" w:eastAsia="宋体" w:cs="宋体"/>
                <w:sz w:val="21"/>
                <w:szCs w:val="21"/>
              </w:rPr>
              <w:t>设施符合国家相关规定，正确配备灭火器材（如灭火器、灭火毯、沙箱、自动喷淋等）；</w:t>
            </w:r>
            <w:r>
              <w:rPr>
                <w:rFonts w:hint="eastAsia" w:ascii="宋体" w:hAnsi="宋体" w:eastAsia="宋体" w:cs="宋体"/>
                <w:kern w:val="0"/>
                <w:sz w:val="21"/>
                <w:szCs w:val="21"/>
              </w:rPr>
              <w:t>若仓库或贮存站在实验楼内，必须有警示、通风、隔热、避光、防盗、防爆、防静电、泄露报警、应急喷淋等技防措施，面积不超过30平方米；不混放、整箱试剂的叠加高度不大于1.5米；贮存站不能在地下室空间</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8.7.2</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甲、乙类危险物品不得储存在地下室或半地下室</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查看台账，MSDS，现场查看</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8.7.3</w:t>
            </w:r>
          </w:p>
        </w:tc>
        <w:tc>
          <w:tcPr>
            <w:tcW w:w="4613" w:type="dxa"/>
            <w:tcMar>
              <w:left w:w="45" w:type="dxa"/>
              <w:right w:w="45" w:type="dxa"/>
            </w:tcMar>
            <w:vAlign w:val="top"/>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甲、乙、丙类液体仓库应设置防止液体流散的设施。遇湿会发生燃烧爆炸的物品仓库应采取防止水浸渍的措施</w:t>
            </w:r>
          </w:p>
        </w:tc>
        <w:tc>
          <w:tcPr>
            <w:tcW w:w="7536" w:type="dxa"/>
            <w:tcMar>
              <w:left w:w="45" w:type="dxa"/>
              <w:right w:w="45" w:type="dxa"/>
            </w:tcMar>
            <w:vAlign w:val="center"/>
          </w:tcPr>
          <w:p>
            <w:pPr>
              <w:widowControl/>
              <w:spacing w:line="240" w:lineRule="auto"/>
              <w:jc w:val="left"/>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放置流散措施，可在仓库门洞处修筑漫坡或在仓库门口设门槛，门槛两侧填沙土形成漫坡，便于装卸。遇水发生燃烧爆炸的物品仓库，现场检擦地面、屋面、装卸区防御措施等</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8.7.4</w:t>
            </w:r>
          </w:p>
        </w:tc>
        <w:tc>
          <w:tcPr>
            <w:tcW w:w="4613" w:type="dxa"/>
            <w:tcMar>
              <w:left w:w="45" w:type="dxa"/>
              <w:right w:w="45" w:type="dxa"/>
            </w:tcMar>
            <w:vAlign w:val="top"/>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化学危险品入库时，应严格检验物品质量、数量、包装情况、有无泄漏。化学危险品入库后应采取适当的养护措施，在</w:t>
            </w:r>
            <w:r>
              <w:rPr>
                <w:rFonts w:hint="eastAsia" w:ascii="宋体" w:hAnsi="宋体" w:eastAsia="宋体" w:cs="宋体"/>
                <w:kern w:val="0"/>
                <w:sz w:val="21"/>
                <w:szCs w:val="21"/>
                <w:lang w:val="en-US" w:eastAsia="zh-CN" w:bidi="ar-SA"/>
              </w:rPr>
              <w:fldChar w:fldCharType="begin"/>
            </w:r>
            <w:r>
              <w:rPr>
                <w:rFonts w:hint="eastAsia" w:ascii="宋体" w:hAnsi="宋体" w:eastAsia="宋体" w:cs="宋体"/>
                <w:kern w:val="0"/>
                <w:sz w:val="21"/>
                <w:szCs w:val="21"/>
                <w:lang w:val="en-US" w:eastAsia="zh-CN" w:bidi="ar-SA"/>
              </w:rPr>
              <w:instrText xml:space="preserve"> HYPERLINK "https://baike.so.com/doc/2215987-2344828.html" \t "https://baike.so.com/doc/_blank" </w:instrText>
            </w:r>
            <w:r>
              <w:rPr>
                <w:rFonts w:hint="eastAsia" w:ascii="宋体" w:hAnsi="宋体" w:eastAsia="宋体" w:cs="宋体"/>
                <w:kern w:val="0"/>
                <w:sz w:val="21"/>
                <w:szCs w:val="21"/>
                <w:lang w:val="en-US" w:eastAsia="zh-CN" w:bidi="ar-SA"/>
              </w:rPr>
              <w:fldChar w:fldCharType="separate"/>
            </w:r>
            <w:r>
              <w:rPr>
                <w:rFonts w:hint="eastAsia" w:ascii="宋体" w:hAnsi="宋体" w:eastAsia="宋体" w:cs="宋体"/>
                <w:kern w:val="0"/>
                <w:sz w:val="21"/>
                <w:szCs w:val="21"/>
                <w:lang w:val="en-US" w:eastAsia="zh-CN" w:bidi="ar-SA"/>
              </w:rPr>
              <w:t>贮存期</w:t>
            </w:r>
            <w:r>
              <w:rPr>
                <w:rFonts w:hint="eastAsia" w:ascii="宋体" w:hAnsi="宋体" w:eastAsia="宋体" w:cs="宋体"/>
                <w:kern w:val="0"/>
                <w:sz w:val="21"/>
                <w:szCs w:val="21"/>
                <w:lang w:val="en-US" w:eastAsia="zh-CN" w:bidi="ar-SA"/>
              </w:rPr>
              <w:fldChar w:fldCharType="end"/>
            </w:r>
            <w:r>
              <w:rPr>
                <w:rFonts w:hint="eastAsia" w:ascii="宋体" w:hAnsi="宋体" w:eastAsia="宋体" w:cs="宋体"/>
                <w:kern w:val="0"/>
                <w:sz w:val="21"/>
                <w:szCs w:val="21"/>
                <w:lang w:val="en-US" w:eastAsia="zh-CN" w:bidi="ar-SA"/>
              </w:rPr>
              <w:t>内，定期检查，发现其品质变化、包装破损、渗漏、稳定剂短缺等，应及时处理。库房温度、湿度应严格控制、经常检查，发现变化及时调整</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现场检查库内化学品养护情况</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8.7.5</w:t>
            </w:r>
          </w:p>
        </w:tc>
        <w:tc>
          <w:tcPr>
            <w:tcW w:w="4613" w:type="dxa"/>
            <w:tcMar>
              <w:left w:w="45" w:type="dxa"/>
              <w:right w:w="45" w:type="dxa"/>
            </w:tcMar>
            <w:vAlign w:val="top"/>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贮存化学危险品的仓库，必须建立严格的出入库管理制度。</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化学危险品出入库前均应按合同进行检查验收、登记、验收内容包括:a.数量;b.包装;c.危险标志。经核对后方可入库、出库，当物品性质未弄清时不得入库。</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进入化学危险品贮存区域的人员、机动车辆和作业车辆，必须采取防火措施。</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装卸、搬运化学危险品时应按有关规定进行，做到轻装、轻卸。严禁摔、碰、撞、击、拖拉、倾倒和滚动。</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装卸对人身有毒害及腐蚀性的物品时，操作人员应根据危险性，穿戴相应的防护用品。</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不得用同一车辆运输互为禁忌的物料。</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highlight w:val="yellow"/>
                <w:lang w:val="en-US" w:eastAsia="zh-CN" w:bidi="ar-SA"/>
              </w:rPr>
            </w:pPr>
            <w:r>
              <w:rPr>
                <w:rFonts w:hint="eastAsia" w:ascii="宋体" w:hAnsi="宋体" w:eastAsia="宋体" w:cs="宋体"/>
                <w:kern w:val="0"/>
                <w:sz w:val="21"/>
                <w:szCs w:val="21"/>
                <w:lang w:val="en-US" w:eastAsia="zh-CN" w:bidi="ar-SA"/>
              </w:rPr>
              <w:t>修补、换装、清扫、装卸易燃、易爆物料时，应使用不产生火花的铜制、合金制或其他工具</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rPr>
            </w:pPr>
            <w:r>
              <w:rPr>
                <w:rFonts w:hint="eastAsia" w:ascii="宋体" w:hAnsi="宋体" w:cs="宋体"/>
                <w:kern w:val="0"/>
                <w:sz w:val="21"/>
                <w:szCs w:val="21"/>
                <w:lang w:val="en-US" w:eastAsia="zh-CN"/>
              </w:rPr>
              <w:t>查看化学品出入库台账，现场检查</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8.7.6</w:t>
            </w:r>
          </w:p>
        </w:tc>
        <w:tc>
          <w:tcPr>
            <w:tcW w:w="4613"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根据危险品性能分区、分类、分库贮存。各类危险品不得与禁忌物料混合贮存，禁忌物料配置《常用化学危险品贮存通则</w:t>
            </w:r>
            <w:r>
              <w:rPr>
                <w:rFonts w:hint="default" w:ascii="宋体" w:hAnsi="宋体" w:eastAsia="宋体" w:cs="宋体"/>
                <w:kern w:val="0"/>
                <w:sz w:val="21"/>
                <w:szCs w:val="21"/>
                <w:lang w:val="en-US" w:eastAsia="zh-CN" w:bidi="ar-SA"/>
              </w:rPr>
              <w:t> </w:t>
            </w:r>
            <w:r>
              <w:rPr>
                <w:rFonts w:hint="eastAsia" w:ascii="宋体" w:hAnsi="宋体" w:eastAsia="宋体" w:cs="宋体"/>
                <w:kern w:val="0"/>
                <w:sz w:val="21"/>
                <w:szCs w:val="21"/>
                <w:lang w:val="en-US" w:eastAsia="zh-CN" w:bidi="ar-SA"/>
              </w:rPr>
              <w:t>》GB 15603见附录A(参考件)</w:t>
            </w:r>
          </w:p>
        </w:tc>
        <w:tc>
          <w:tcPr>
            <w:tcW w:w="7536"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fldChar w:fldCharType="begin"/>
            </w:r>
            <w:r>
              <w:rPr>
                <w:rFonts w:hint="eastAsia" w:ascii="宋体" w:hAnsi="宋体" w:eastAsia="宋体" w:cs="宋体"/>
                <w:kern w:val="0"/>
                <w:sz w:val="21"/>
                <w:szCs w:val="21"/>
                <w:lang w:val="en-US" w:eastAsia="zh-CN" w:bidi="ar-SA"/>
              </w:rPr>
              <w:instrText xml:space="preserve"> HYPERLINK "https://baike.so.com/doc/6661196-6875019.html" \t "https://baike.so.com/doc/_blank" </w:instrText>
            </w:r>
            <w:r>
              <w:rPr>
                <w:rFonts w:hint="eastAsia" w:ascii="宋体" w:hAnsi="宋体" w:eastAsia="宋体" w:cs="宋体"/>
                <w:kern w:val="0"/>
                <w:sz w:val="21"/>
                <w:szCs w:val="21"/>
                <w:lang w:val="en-US" w:eastAsia="zh-CN" w:bidi="ar-SA"/>
              </w:rPr>
              <w:fldChar w:fldCharType="separate"/>
            </w:r>
            <w:r>
              <w:rPr>
                <w:rFonts w:hint="eastAsia" w:ascii="宋体" w:hAnsi="宋体" w:eastAsia="宋体" w:cs="宋体"/>
                <w:kern w:val="0"/>
                <w:sz w:val="21"/>
                <w:szCs w:val="21"/>
                <w:lang w:val="en-US" w:eastAsia="zh-CN" w:bidi="ar-SA"/>
              </w:rPr>
              <w:t>压缩气体</w:t>
            </w:r>
            <w:r>
              <w:rPr>
                <w:rFonts w:hint="eastAsia" w:ascii="宋体" w:hAnsi="宋体" w:eastAsia="宋体" w:cs="宋体"/>
                <w:kern w:val="0"/>
                <w:sz w:val="21"/>
                <w:szCs w:val="21"/>
                <w:lang w:val="en-US" w:eastAsia="zh-CN" w:bidi="ar-SA"/>
              </w:rPr>
              <w:fldChar w:fldCharType="end"/>
            </w:r>
            <w:r>
              <w:rPr>
                <w:rFonts w:hint="eastAsia" w:ascii="宋体" w:hAnsi="宋体" w:eastAsia="宋体" w:cs="宋体"/>
                <w:kern w:val="0"/>
                <w:sz w:val="21"/>
                <w:szCs w:val="21"/>
                <w:lang w:val="en-US" w:eastAsia="zh-CN" w:bidi="ar-SA"/>
              </w:rPr>
              <w:t>和液化气体必须与爆炸物品、氧化剂、易燃物品、</w:t>
            </w:r>
            <w:r>
              <w:rPr>
                <w:rFonts w:hint="eastAsia" w:ascii="宋体" w:hAnsi="宋体" w:eastAsia="宋体" w:cs="宋体"/>
                <w:kern w:val="0"/>
                <w:sz w:val="21"/>
                <w:szCs w:val="21"/>
                <w:lang w:val="en-US" w:eastAsia="zh-CN" w:bidi="ar-SA"/>
              </w:rPr>
              <w:fldChar w:fldCharType="begin"/>
            </w:r>
            <w:r>
              <w:rPr>
                <w:rFonts w:hint="eastAsia" w:ascii="宋体" w:hAnsi="宋体" w:eastAsia="宋体" w:cs="宋体"/>
                <w:kern w:val="0"/>
                <w:sz w:val="21"/>
                <w:szCs w:val="21"/>
                <w:lang w:val="en-US" w:eastAsia="zh-CN" w:bidi="ar-SA"/>
              </w:rPr>
              <w:instrText xml:space="preserve"> HYPERLINK "https://baike.so.com/doc/4260317-4463032.html" \t "https://baike.so.com/doc/_blank" </w:instrText>
            </w:r>
            <w:r>
              <w:rPr>
                <w:rFonts w:hint="eastAsia" w:ascii="宋体" w:hAnsi="宋体" w:eastAsia="宋体" w:cs="宋体"/>
                <w:kern w:val="0"/>
                <w:sz w:val="21"/>
                <w:szCs w:val="21"/>
                <w:lang w:val="en-US" w:eastAsia="zh-CN" w:bidi="ar-SA"/>
              </w:rPr>
              <w:fldChar w:fldCharType="separate"/>
            </w:r>
            <w:r>
              <w:rPr>
                <w:rFonts w:hint="eastAsia" w:ascii="宋体" w:hAnsi="宋体" w:eastAsia="宋体" w:cs="宋体"/>
                <w:kern w:val="0"/>
                <w:sz w:val="21"/>
                <w:szCs w:val="21"/>
                <w:lang w:val="en-US" w:eastAsia="zh-CN" w:bidi="ar-SA"/>
              </w:rPr>
              <w:t>自燃物品</w:t>
            </w:r>
            <w:r>
              <w:rPr>
                <w:rFonts w:hint="eastAsia" w:ascii="宋体" w:hAnsi="宋体" w:eastAsia="宋体" w:cs="宋体"/>
                <w:kern w:val="0"/>
                <w:sz w:val="21"/>
                <w:szCs w:val="21"/>
                <w:lang w:val="en-US" w:eastAsia="zh-CN" w:bidi="ar-SA"/>
              </w:rPr>
              <w:fldChar w:fldCharType="end"/>
            </w:r>
            <w:r>
              <w:rPr>
                <w:rFonts w:hint="eastAsia" w:ascii="宋体" w:hAnsi="宋体" w:eastAsia="宋体" w:cs="宋体"/>
                <w:kern w:val="0"/>
                <w:sz w:val="21"/>
                <w:szCs w:val="21"/>
                <w:lang w:val="en-US" w:eastAsia="zh-CN" w:bidi="ar-SA"/>
              </w:rPr>
              <w:t>、腐蚀性物品隔离贮存。易燃气体不得与助燃气体、剧毒气体同贮;氧气不得与油脂混合贮存，盛装液化气体的容器属压力容器的，必须有压力表、安全阀、紧急切断装置，并定期检查，不得超装。</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fldChar w:fldCharType="begin"/>
            </w:r>
            <w:r>
              <w:rPr>
                <w:rFonts w:hint="eastAsia" w:ascii="宋体" w:hAnsi="宋体" w:eastAsia="宋体" w:cs="宋体"/>
                <w:kern w:val="0"/>
                <w:sz w:val="21"/>
                <w:szCs w:val="21"/>
                <w:lang w:val="en-US" w:eastAsia="zh-CN" w:bidi="ar-SA"/>
              </w:rPr>
              <w:instrText xml:space="preserve"> HYPERLINK "https://baike.so.com/doc/6226848-6440171.html" \t "https://baike.so.com/doc/_blank" </w:instrText>
            </w:r>
            <w:r>
              <w:rPr>
                <w:rFonts w:hint="eastAsia" w:ascii="宋体" w:hAnsi="宋体" w:eastAsia="宋体" w:cs="宋体"/>
                <w:kern w:val="0"/>
                <w:sz w:val="21"/>
                <w:szCs w:val="21"/>
                <w:lang w:val="en-US" w:eastAsia="zh-CN" w:bidi="ar-SA"/>
              </w:rPr>
              <w:fldChar w:fldCharType="separate"/>
            </w:r>
            <w:r>
              <w:rPr>
                <w:rFonts w:hint="eastAsia" w:ascii="宋体" w:hAnsi="宋体" w:eastAsia="宋体" w:cs="宋体"/>
                <w:kern w:val="0"/>
                <w:sz w:val="21"/>
                <w:szCs w:val="21"/>
                <w:lang w:val="en-US" w:eastAsia="zh-CN" w:bidi="ar-SA"/>
              </w:rPr>
              <w:t>易燃液体</w:t>
            </w:r>
            <w:r>
              <w:rPr>
                <w:rFonts w:hint="eastAsia" w:ascii="宋体" w:hAnsi="宋体" w:eastAsia="宋体" w:cs="宋体"/>
                <w:kern w:val="0"/>
                <w:sz w:val="21"/>
                <w:szCs w:val="21"/>
                <w:lang w:val="en-US" w:eastAsia="zh-CN" w:bidi="ar-SA"/>
              </w:rPr>
              <w:fldChar w:fldCharType="end"/>
            </w:r>
            <w:r>
              <w:rPr>
                <w:rFonts w:hint="eastAsia" w:ascii="宋体" w:hAnsi="宋体" w:eastAsia="宋体" w:cs="宋体"/>
                <w:kern w:val="0"/>
                <w:sz w:val="21"/>
                <w:szCs w:val="21"/>
                <w:lang w:val="en-US" w:eastAsia="zh-CN" w:bidi="ar-SA"/>
              </w:rPr>
              <w:t>、</w:t>
            </w:r>
            <w:r>
              <w:rPr>
                <w:rFonts w:hint="eastAsia" w:ascii="宋体" w:hAnsi="宋体" w:eastAsia="宋体" w:cs="宋体"/>
                <w:kern w:val="0"/>
                <w:sz w:val="21"/>
                <w:szCs w:val="21"/>
                <w:lang w:val="en-US" w:eastAsia="zh-CN" w:bidi="ar-SA"/>
              </w:rPr>
              <w:fldChar w:fldCharType="begin"/>
            </w:r>
            <w:r>
              <w:rPr>
                <w:rFonts w:hint="eastAsia" w:ascii="宋体" w:hAnsi="宋体" w:eastAsia="宋体" w:cs="宋体"/>
                <w:kern w:val="0"/>
                <w:sz w:val="21"/>
                <w:szCs w:val="21"/>
                <w:lang w:val="en-US" w:eastAsia="zh-CN" w:bidi="ar-SA"/>
              </w:rPr>
              <w:instrText xml:space="preserve"> HYPERLINK "https://baike.so.com/doc/1254851-1327130.html" \t "https://baike.so.com/doc/_blank" </w:instrText>
            </w:r>
            <w:r>
              <w:rPr>
                <w:rFonts w:hint="eastAsia" w:ascii="宋体" w:hAnsi="宋体" w:eastAsia="宋体" w:cs="宋体"/>
                <w:kern w:val="0"/>
                <w:sz w:val="21"/>
                <w:szCs w:val="21"/>
                <w:lang w:val="en-US" w:eastAsia="zh-CN" w:bidi="ar-SA"/>
              </w:rPr>
              <w:fldChar w:fldCharType="separate"/>
            </w:r>
            <w:r>
              <w:rPr>
                <w:rFonts w:hint="eastAsia" w:ascii="宋体" w:hAnsi="宋体" w:eastAsia="宋体" w:cs="宋体"/>
                <w:kern w:val="0"/>
                <w:sz w:val="21"/>
                <w:szCs w:val="21"/>
                <w:lang w:val="en-US" w:eastAsia="zh-CN" w:bidi="ar-SA"/>
              </w:rPr>
              <w:t>遇湿易燃物品</w:t>
            </w:r>
            <w:r>
              <w:rPr>
                <w:rFonts w:hint="eastAsia" w:ascii="宋体" w:hAnsi="宋体" w:eastAsia="宋体" w:cs="宋体"/>
                <w:kern w:val="0"/>
                <w:sz w:val="21"/>
                <w:szCs w:val="21"/>
                <w:lang w:val="en-US" w:eastAsia="zh-CN" w:bidi="ar-SA"/>
              </w:rPr>
              <w:fldChar w:fldCharType="end"/>
            </w:r>
            <w:r>
              <w:rPr>
                <w:rFonts w:hint="eastAsia" w:ascii="宋体" w:hAnsi="宋体" w:eastAsia="宋体" w:cs="宋体"/>
                <w:kern w:val="0"/>
                <w:sz w:val="21"/>
                <w:szCs w:val="21"/>
                <w:lang w:val="en-US" w:eastAsia="zh-CN" w:bidi="ar-SA"/>
              </w:rPr>
              <w:t>、易燃固体不得与氧化剂混合贮存，具有</w:t>
            </w:r>
            <w:r>
              <w:rPr>
                <w:rFonts w:hint="eastAsia" w:ascii="宋体" w:hAnsi="宋体" w:eastAsia="宋体" w:cs="宋体"/>
                <w:kern w:val="0"/>
                <w:sz w:val="21"/>
                <w:szCs w:val="21"/>
                <w:lang w:val="en-US" w:eastAsia="zh-CN" w:bidi="ar-SA"/>
              </w:rPr>
              <w:fldChar w:fldCharType="begin"/>
            </w:r>
            <w:r>
              <w:rPr>
                <w:rFonts w:hint="eastAsia" w:ascii="宋体" w:hAnsi="宋体" w:eastAsia="宋体" w:cs="宋体"/>
                <w:kern w:val="0"/>
                <w:sz w:val="21"/>
                <w:szCs w:val="21"/>
                <w:lang w:val="en-US" w:eastAsia="zh-CN" w:bidi="ar-SA"/>
              </w:rPr>
              <w:instrText xml:space="preserve"> HYPERLINK "https://baike.so.com/doc/2572793-2716928.html" \t "https://baike.so.com/doc/_blank" </w:instrText>
            </w:r>
            <w:r>
              <w:rPr>
                <w:rFonts w:hint="eastAsia" w:ascii="宋体" w:hAnsi="宋体" w:eastAsia="宋体" w:cs="宋体"/>
                <w:kern w:val="0"/>
                <w:sz w:val="21"/>
                <w:szCs w:val="21"/>
                <w:lang w:val="en-US" w:eastAsia="zh-CN" w:bidi="ar-SA"/>
              </w:rPr>
              <w:fldChar w:fldCharType="separate"/>
            </w:r>
            <w:r>
              <w:rPr>
                <w:rFonts w:hint="eastAsia" w:ascii="宋体" w:hAnsi="宋体" w:eastAsia="宋体" w:cs="宋体"/>
                <w:kern w:val="0"/>
                <w:sz w:val="21"/>
                <w:szCs w:val="21"/>
                <w:lang w:val="en-US" w:eastAsia="zh-CN" w:bidi="ar-SA"/>
              </w:rPr>
              <w:t>还原性</w:t>
            </w:r>
            <w:r>
              <w:rPr>
                <w:rFonts w:hint="eastAsia" w:ascii="宋体" w:hAnsi="宋体" w:eastAsia="宋体" w:cs="宋体"/>
                <w:kern w:val="0"/>
                <w:sz w:val="21"/>
                <w:szCs w:val="21"/>
                <w:lang w:val="en-US" w:eastAsia="zh-CN" w:bidi="ar-SA"/>
              </w:rPr>
              <w:fldChar w:fldCharType="end"/>
            </w:r>
            <w:r>
              <w:rPr>
                <w:rFonts w:hint="eastAsia" w:ascii="宋体" w:hAnsi="宋体" w:eastAsia="宋体" w:cs="宋体"/>
                <w:kern w:val="0"/>
                <w:sz w:val="21"/>
                <w:szCs w:val="21"/>
                <w:lang w:val="en-US" w:eastAsia="zh-CN" w:bidi="ar-SA"/>
              </w:rPr>
              <w:t>氧化剂应单独存放。有毒物品应贮存在阴凉、通风、干燥的场所，不要露天存放，不要接近酸类物质。</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腐蚀性物品，包装必须严密，不允许泄漏，严禁与液化气体和其他物品共存</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8.7.7</w:t>
            </w:r>
          </w:p>
        </w:tc>
        <w:tc>
          <w:tcPr>
            <w:tcW w:w="4613" w:type="dxa"/>
            <w:tcMar>
              <w:left w:w="45" w:type="dxa"/>
              <w:right w:w="45" w:type="dxa"/>
            </w:tcMar>
            <w:vAlign w:val="top"/>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遇火、遇热、遇潮能引起燃烧、爆炸或发生化学反应，产生有毒气体的化学危险品不得在露天或在潮湿、积水的建筑物中贮存。</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受日光照射能发生化学反应引起燃烧、爆炸、分解、化合或能产生有毒气体的化学危险品应贮存在一级建筑物中。其包装应采取避光措施。</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爆炸物品不准和其他类物品同贮，必须单独隔离限量贮存，仓库应与周围建筑、交通干道、</w:t>
            </w:r>
            <w:r>
              <w:rPr>
                <w:rFonts w:hint="eastAsia" w:ascii="宋体" w:hAnsi="宋体" w:eastAsia="宋体" w:cs="宋体"/>
                <w:kern w:val="0"/>
                <w:sz w:val="21"/>
                <w:szCs w:val="21"/>
                <w:lang w:val="en-US" w:eastAsia="zh-CN" w:bidi="ar-SA"/>
              </w:rPr>
              <w:fldChar w:fldCharType="begin"/>
            </w:r>
            <w:r>
              <w:rPr>
                <w:rFonts w:hint="eastAsia" w:ascii="宋体" w:hAnsi="宋体" w:eastAsia="宋体" w:cs="宋体"/>
                <w:kern w:val="0"/>
                <w:sz w:val="21"/>
                <w:szCs w:val="21"/>
                <w:lang w:val="en-US" w:eastAsia="zh-CN" w:bidi="ar-SA"/>
              </w:rPr>
              <w:instrText xml:space="preserve"> HYPERLINK "https://baike.so.com/doc/4193525-4394322.html" \t "https://baike.so.com/doc/_blank" </w:instrText>
            </w:r>
            <w:r>
              <w:rPr>
                <w:rFonts w:hint="eastAsia" w:ascii="宋体" w:hAnsi="宋体" w:eastAsia="宋体" w:cs="宋体"/>
                <w:kern w:val="0"/>
                <w:sz w:val="21"/>
                <w:szCs w:val="21"/>
                <w:lang w:val="en-US" w:eastAsia="zh-CN" w:bidi="ar-SA"/>
              </w:rPr>
              <w:fldChar w:fldCharType="separate"/>
            </w:r>
            <w:r>
              <w:rPr>
                <w:rFonts w:hint="eastAsia" w:ascii="宋体" w:hAnsi="宋体" w:eastAsia="宋体" w:cs="宋体"/>
                <w:kern w:val="0"/>
                <w:sz w:val="21"/>
                <w:szCs w:val="21"/>
                <w:lang w:val="en-US" w:eastAsia="zh-CN" w:bidi="ar-SA"/>
              </w:rPr>
              <w:t>输电线路</w:t>
            </w:r>
            <w:r>
              <w:rPr>
                <w:rFonts w:hint="eastAsia" w:ascii="宋体" w:hAnsi="宋体" w:eastAsia="宋体" w:cs="宋体"/>
                <w:kern w:val="0"/>
                <w:sz w:val="21"/>
                <w:szCs w:val="21"/>
                <w:lang w:val="en-US" w:eastAsia="zh-CN" w:bidi="ar-SA"/>
              </w:rPr>
              <w:fldChar w:fldCharType="end"/>
            </w:r>
            <w:r>
              <w:rPr>
                <w:rFonts w:hint="eastAsia" w:ascii="宋体" w:hAnsi="宋体" w:eastAsia="宋体" w:cs="宋体"/>
                <w:kern w:val="0"/>
                <w:sz w:val="21"/>
                <w:szCs w:val="21"/>
                <w:lang w:val="en-US" w:eastAsia="zh-CN" w:bidi="ar-SA"/>
              </w:rPr>
              <w:t>保持一定安全距离</w:t>
            </w:r>
          </w:p>
        </w:tc>
        <w:tc>
          <w:tcPr>
            <w:tcW w:w="7536" w:type="dxa"/>
            <w:tcMar>
              <w:left w:w="45" w:type="dxa"/>
              <w:right w:w="45" w:type="dxa"/>
            </w:tcMar>
            <w:vAlign w:val="center"/>
          </w:tcPr>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8.8</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其它化学安全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8.8.1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配制试剂需要张贴标签</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装有配制试剂、合成品、样品等的容器上标签信息明确，标签信息包括名称或编号、使用人、日期等；无使用饮料瓶存放试剂、样品的现象，如确需使用，必须撕去原包装纸，贴上统一的试剂标签</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8.8.2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不使用破损量筒、试管、移液管等玻璃器皿</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lang w:eastAsia="zh-CN"/>
              </w:rPr>
            </w:pPr>
            <w:r>
              <w:rPr>
                <w:rFonts w:hint="eastAsia" w:ascii="宋体" w:hAnsi="宋体" w:cs="宋体"/>
                <w:b/>
                <w:kern w:val="0"/>
                <w:sz w:val="21"/>
                <w:szCs w:val="21"/>
                <w:lang w:val="en-US" w:eastAsia="zh-CN"/>
              </w:rPr>
              <w:t>9</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机电等安全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cs="宋体"/>
                <w:b/>
                <w:kern w:val="0"/>
                <w:sz w:val="21"/>
                <w:szCs w:val="21"/>
                <w:lang w:val="en-US" w:eastAsia="zh-CN"/>
              </w:rPr>
              <w:t>9</w:t>
            </w:r>
            <w:r>
              <w:rPr>
                <w:rFonts w:hint="eastAsia" w:ascii="宋体" w:hAnsi="宋体" w:eastAsia="宋体" w:cs="宋体"/>
                <w:b/>
                <w:kern w:val="0"/>
                <w:sz w:val="21"/>
                <w:szCs w:val="21"/>
              </w:rPr>
              <w:t>.1</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仪器设备常规管理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.1.1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建立设备台账，设备上有资产标签，有明确的管理人员</w:t>
            </w:r>
          </w:p>
        </w:tc>
        <w:tc>
          <w:tcPr>
            <w:tcW w:w="7536" w:type="dxa"/>
            <w:tcMar>
              <w:left w:w="45" w:type="dxa"/>
              <w:right w:w="45" w:type="dxa"/>
            </w:tcMar>
            <w:vAlign w:val="center"/>
          </w:tcPr>
          <w:p>
            <w:pPr>
              <w:widowControl/>
              <w:spacing w:line="240" w:lineRule="auto"/>
              <w:jc w:val="left"/>
              <w:rPr>
                <w:rFonts w:hint="eastAsia" w:ascii="宋体" w:hAnsi="宋体" w:eastAsia="宋体" w:cs="宋体"/>
                <w:b/>
                <w:bCs/>
                <w:kern w:val="0"/>
                <w:sz w:val="21"/>
                <w:szCs w:val="21"/>
              </w:rPr>
            </w:pPr>
            <w:r>
              <w:rPr>
                <w:rFonts w:hint="eastAsia" w:ascii="宋体" w:hAnsi="宋体" w:eastAsia="宋体" w:cs="宋体"/>
                <w:kern w:val="0"/>
                <w:sz w:val="21"/>
                <w:szCs w:val="21"/>
              </w:rPr>
              <w:t>查看电子或纸质台账</w:t>
            </w:r>
          </w:p>
        </w:tc>
        <w:tc>
          <w:tcPr>
            <w:tcW w:w="1874" w:type="dxa"/>
            <w:tcMar>
              <w:left w:w="45" w:type="dxa"/>
              <w:right w:w="45" w:type="dxa"/>
            </w:tcMar>
            <w:vAlign w:val="center"/>
          </w:tcPr>
          <w:p>
            <w:pPr>
              <w:widowControl/>
              <w:spacing w:line="240" w:lineRule="auto"/>
              <w:jc w:val="center"/>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.1.2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大型、特种设备的使用需符合相关规定</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大型仪器设备、高功率的设备与电路容量相匹配，有设备运行维护的记录，有安全操作规程或注意事项</w:t>
            </w:r>
          </w:p>
        </w:tc>
        <w:tc>
          <w:tcPr>
            <w:tcW w:w="1874" w:type="dxa"/>
            <w:tcMar>
              <w:left w:w="45" w:type="dxa"/>
              <w:right w:w="45" w:type="dxa"/>
            </w:tcMar>
            <w:vAlign w:val="center"/>
          </w:tcPr>
          <w:p>
            <w:pPr>
              <w:widowControl/>
              <w:spacing w:line="240" w:lineRule="auto"/>
              <w:jc w:val="center"/>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.1.3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仪器设备的接地和用电符合相关要求</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sz w:val="21"/>
                <w:szCs w:val="21"/>
              </w:rPr>
              <w:t>仪器设备接地系统应按规范要求，采用铜质材料，接地电阻不高于0.5欧；电脑、空调、电加热器等不随意开机过夜；</w:t>
            </w:r>
            <w:r>
              <w:rPr>
                <w:rFonts w:hint="eastAsia" w:ascii="宋体" w:hAnsi="宋体" w:eastAsia="宋体" w:cs="宋体"/>
                <w:kern w:val="0"/>
                <w:sz w:val="21"/>
                <w:szCs w:val="21"/>
              </w:rPr>
              <w:t>对于不能断电的特殊仪器设备，采取必要的防护措施（如双路供电、不间断电源、监控报警等）</w:t>
            </w:r>
          </w:p>
        </w:tc>
        <w:tc>
          <w:tcPr>
            <w:tcW w:w="1874" w:type="dxa"/>
            <w:tcMar>
              <w:left w:w="45" w:type="dxa"/>
              <w:right w:w="45" w:type="dxa"/>
            </w:tcMar>
            <w:vAlign w:val="center"/>
          </w:tcPr>
          <w:p>
            <w:pPr>
              <w:widowControl/>
              <w:spacing w:line="240" w:lineRule="auto"/>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.1.4</w:t>
            </w:r>
          </w:p>
        </w:tc>
        <w:tc>
          <w:tcPr>
            <w:tcW w:w="4613" w:type="dxa"/>
            <w:tcMar>
              <w:left w:w="45" w:type="dxa"/>
              <w:right w:w="45" w:type="dxa"/>
            </w:tcMar>
            <w:vAlign w:val="center"/>
          </w:tcPr>
          <w:p>
            <w:pPr>
              <w:spacing w:line="240" w:lineRule="auto"/>
              <w:rPr>
                <w:rFonts w:hint="eastAsia" w:ascii="宋体" w:hAnsi="宋体" w:eastAsia="宋体" w:cs="宋体"/>
                <w:sz w:val="21"/>
                <w:szCs w:val="21"/>
              </w:rPr>
            </w:pPr>
            <w:r>
              <w:rPr>
                <w:rFonts w:hint="eastAsia" w:ascii="宋体" w:hAnsi="宋体" w:eastAsia="宋体" w:cs="宋体"/>
                <w:sz w:val="21"/>
                <w:szCs w:val="21"/>
              </w:rPr>
              <w:t>特殊设备应配备相应安全防护措施</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特别关注高温、高压、高速运动、电磁辐射等特殊设备，对使用者有培训要求，有安全警示标识和</w:t>
            </w:r>
            <w:r>
              <w:rPr>
                <w:rFonts w:hint="eastAsia" w:ascii="宋体" w:hAnsi="宋体" w:eastAsia="宋体" w:cs="宋体"/>
                <w:sz w:val="21"/>
                <w:szCs w:val="21"/>
              </w:rPr>
              <w:t>安全警示线（黄色），设备安全防护措施完好；</w:t>
            </w:r>
            <w:r>
              <w:rPr>
                <w:rFonts w:hint="eastAsia" w:ascii="宋体" w:hAnsi="宋体" w:eastAsia="宋体" w:cs="宋体"/>
                <w:kern w:val="0"/>
                <w:sz w:val="21"/>
                <w:szCs w:val="21"/>
              </w:rPr>
              <w:t>自研自制设备，须充分考虑安全系数，并有安全防护措施</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cs="宋体"/>
                <w:b/>
                <w:kern w:val="0"/>
                <w:sz w:val="21"/>
                <w:szCs w:val="21"/>
                <w:lang w:val="en-US" w:eastAsia="zh-CN"/>
              </w:rPr>
              <w:t>9</w:t>
            </w:r>
            <w:r>
              <w:rPr>
                <w:rFonts w:hint="eastAsia" w:ascii="宋体" w:hAnsi="宋体" w:eastAsia="宋体" w:cs="宋体"/>
                <w:b/>
                <w:kern w:val="0"/>
                <w:sz w:val="21"/>
                <w:szCs w:val="21"/>
              </w:rPr>
              <w:t>.2</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机械安全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.2.1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机械设备应保持清洁整齐，可靠接地</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机床应保持清洁整齐；严禁在床头、床面、刀架上放置物品；机械设备可靠接地；实验结束后，应切断电源，整理好场地并将实验用具等摆放整齐，及时清理机械设备产生的废渣、屑</w:t>
            </w:r>
          </w:p>
        </w:tc>
        <w:tc>
          <w:tcPr>
            <w:tcW w:w="1874" w:type="dxa"/>
            <w:tcMar>
              <w:left w:w="45" w:type="dxa"/>
              <w:right w:w="45" w:type="dxa"/>
            </w:tcMar>
            <w:vAlign w:val="center"/>
          </w:tcPr>
          <w:p>
            <w:pPr>
              <w:widowControl/>
              <w:spacing w:line="240" w:lineRule="auto"/>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.2.2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操作机械设备时实验人员应做好个人防护</w:t>
            </w:r>
          </w:p>
        </w:tc>
        <w:tc>
          <w:tcPr>
            <w:tcW w:w="7536" w:type="dxa"/>
            <w:tcMar>
              <w:left w:w="45" w:type="dxa"/>
              <w:right w:w="45" w:type="dxa"/>
            </w:tcMar>
            <w:vAlign w:val="center"/>
          </w:tcPr>
          <w:p>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个人防护用品要穿戴齐全，如工作服、工作帽、工作鞋、防护眼镜等；操作冷加工设备必须穿“三紧式”工作服，不能留长发（长发要盘在工作帽内），禁止戴手套；进入高速切削机械操作工作场所，穿好工作服，戴好防护眼镜，扣紧衣袖口，长发学生必须将长发盘在工作帽内，戴好工作帽，禁止戴手套、长围巾、领带、手镯等配饰物，禁穿拖鞋、高跟鞋等；设备运转时严禁用手调整工件</w:t>
            </w:r>
          </w:p>
        </w:tc>
        <w:tc>
          <w:tcPr>
            <w:tcW w:w="1874" w:type="dxa"/>
            <w:tcMar>
              <w:left w:w="45" w:type="dxa"/>
              <w:right w:w="45" w:type="dxa"/>
            </w:tcMar>
            <w:vAlign w:val="center"/>
          </w:tcPr>
          <w:p>
            <w:pPr>
              <w:widowControl/>
              <w:spacing w:line="240" w:lineRule="auto"/>
              <w:jc w:val="center"/>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240" w:lineRule="auto"/>
              <w:rPr>
                <w:rFonts w:hint="eastAsia" w:ascii="宋体" w:hAnsi="宋体" w:eastAsia="宋体" w:cs="宋体"/>
                <w:sz w:val="21"/>
                <w:szCs w:val="21"/>
                <w:lang w:eastAsia="zh-CN"/>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.2.</w:t>
            </w:r>
            <w:r>
              <w:rPr>
                <w:rFonts w:hint="eastAsia" w:ascii="宋体" w:hAnsi="宋体" w:cs="宋体"/>
                <w:kern w:val="0"/>
                <w:sz w:val="21"/>
                <w:szCs w:val="21"/>
                <w:lang w:val="en-US" w:eastAsia="zh-CN"/>
              </w:rPr>
              <w:t>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高空作业应符合相关操作规程</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2米以上高空临边、攀登作业，须穿防滑鞋、佩戴安全帽、使用安全带，有相关安全操作规程</w:t>
            </w:r>
          </w:p>
        </w:tc>
        <w:tc>
          <w:tcPr>
            <w:tcW w:w="1874" w:type="dxa"/>
            <w:tcMar>
              <w:left w:w="45" w:type="dxa"/>
              <w:right w:w="45" w:type="dxa"/>
            </w:tcMar>
            <w:vAlign w:val="center"/>
          </w:tcPr>
          <w:p>
            <w:pPr>
              <w:widowControl/>
              <w:spacing w:line="240" w:lineRule="auto"/>
              <w:jc w:val="center"/>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cs="宋体"/>
                <w:b/>
                <w:kern w:val="0"/>
                <w:sz w:val="21"/>
                <w:szCs w:val="21"/>
                <w:lang w:val="en-US" w:eastAsia="zh-CN"/>
              </w:rPr>
              <w:t>9</w:t>
            </w:r>
            <w:r>
              <w:rPr>
                <w:rFonts w:hint="eastAsia" w:ascii="宋体" w:hAnsi="宋体" w:eastAsia="宋体" w:cs="宋体"/>
                <w:b/>
                <w:kern w:val="0"/>
                <w:sz w:val="21"/>
                <w:szCs w:val="21"/>
              </w:rPr>
              <w:t>.3</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电气安全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.3.1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电气设备的使用应符合用电安全规范</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各种电器设备及电线应始终保持干燥，防止浸湿，以防短路引起火灾或烧坏电气设备；</w:t>
            </w:r>
            <w:r>
              <w:rPr>
                <w:rFonts w:hint="eastAsia" w:ascii="宋体" w:hAnsi="宋体" w:eastAsia="宋体" w:cs="宋体"/>
                <w:sz w:val="21"/>
                <w:szCs w:val="21"/>
              </w:rPr>
              <w:t>试验室内的功能间墙面都应设有专用接地母排，并设有多点接地引出端；高压、大电流等强电实验室</w:t>
            </w:r>
            <w:r>
              <w:rPr>
                <w:rFonts w:hint="eastAsia" w:ascii="宋体" w:hAnsi="宋体" w:eastAsia="宋体" w:cs="宋体"/>
                <w:kern w:val="0"/>
                <w:sz w:val="21"/>
                <w:szCs w:val="21"/>
              </w:rPr>
              <w:t>要设定安全距离，按规定设置安全警示牌、安全信号灯、联动式警铃、门锁，有安全隔离装置或屏蔽遮栏（由金属制成，并可靠接地，</w:t>
            </w:r>
            <w:r>
              <w:rPr>
                <w:rFonts w:hint="eastAsia" w:ascii="宋体" w:hAnsi="宋体" w:eastAsia="宋体" w:cs="宋体"/>
                <w:sz w:val="21"/>
                <w:szCs w:val="21"/>
              </w:rPr>
              <w:t>高度不低于2米</w:t>
            </w:r>
            <w:r>
              <w:rPr>
                <w:rFonts w:hint="eastAsia" w:ascii="宋体" w:hAnsi="宋体" w:eastAsia="宋体" w:cs="宋体"/>
                <w:kern w:val="0"/>
                <w:sz w:val="21"/>
                <w:szCs w:val="21"/>
              </w:rPr>
              <w:t>）；控制室（控制台）应铺橡胶、绝缘垫等；</w:t>
            </w:r>
            <w:r>
              <w:rPr>
                <w:rFonts w:hint="eastAsia" w:ascii="宋体" w:hAnsi="宋体" w:eastAsia="宋体" w:cs="宋体"/>
                <w:sz w:val="21"/>
                <w:szCs w:val="21"/>
              </w:rPr>
              <w:t>强电实验室禁止存放易燃、易爆、易腐品，保持通风散热；应为设备配备残余电流泄放专用的接地系统；禁止在有可燃气体泄露隐患的环境中使用电动工具；电烙铁有专门搁架，用毕立即切断电源；强磁设备应该配备与大地相连的金属屏蔽网</w:t>
            </w:r>
          </w:p>
        </w:tc>
        <w:tc>
          <w:tcPr>
            <w:tcW w:w="1874" w:type="dxa"/>
            <w:tcMar>
              <w:left w:w="45" w:type="dxa"/>
              <w:right w:w="45" w:type="dxa"/>
            </w:tcMar>
            <w:vAlign w:val="center"/>
          </w:tcPr>
          <w:p>
            <w:pPr>
              <w:widowControl/>
              <w:spacing w:line="240" w:lineRule="auto"/>
              <w:jc w:val="left"/>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.3.2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操作电气设备应配备合适的防护器具</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强电类实验必须二人（含）以上，操作时应戴绝缘手套；</w:t>
            </w:r>
            <w:r>
              <w:rPr>
                <w:rFonts w:hint="eastAsia" w:ascii="宋体" w:hAnsi="宋体" w:eastAsia="宋体" w:cs="宋体"/>
                <w:sz w:val="21"/>
                <w:szCs w:val="21"/>
              </w:rPr>
              <w:t>静电场所，要保持空气湿润，工作人员要穿防静电的衣服和鞋靴</w:t>
            </w:r>
          </w:p>
        </w:tc>
        <w:tc>
          <w:tcPr>
            <w:tcW w:w="1874" w:type="dxa"/>
            <w:tcMar>
              <w:left w:w="45" w:type="dxa"/>
              <w:right w:w="45" w:type="dxa"/>
            </w:tcMar>
            <w:vAlign w:val="center"/>
          </w:tcPr>
          <w:p>
            <w:pPr>
              <w:widowControl/>
              <w:spacing w:line="240" w:lineRule="auto"/>
              <w:jc w:val="center"/>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cs="宋体"/>
                <w:b/>
                <w:kern w:val="0"/>
                <w:sz w:val="21"/>
                <w:szCs w:val="21"/>
                <w:lang w:val="en-US" w:eastAsia="zh-CN"/>
              </w:rPr>
              <w:t>9</w:t>
            </w:r>
            <w:r>
              <w:rPr>
                <w:rFonts w:hint="eastAsia" w:ascii="宋体" w:hAnsi="宋体" w:eastAsia="宋体" w:cs="宋体"/>
                <w:b/>
                <w:kern w:val="0"/>
                <w:sz w:val="21"/>
                <w:szCs w:val="21"/>
              </w:rPr>
              <w:t>.4</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.4.1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bCs/>
                <w:kern w:val="0"/>
                <w:sz w:val="21"/>
                <w:szCs w:val="21"/>
              </w:rPr>
              <w:t>激光实验室配有完备的安全屏蔽设施</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功率较大的激光器有互锁装置、防护罩；激光照射方向不会对他人造成伤害，防止激光发射口及反射镜上扬</w:t>
            </w:r>
          </w:p>
        </w:tc>
        <w:tc>
          <w:tcPr>
            <w:tcW w:w="1874" w:type="dxa"/>
            <w:tcMar>
              <w:left w:w="45" w:type="dxa"/>
              <w:right w:w="45" w:type="dxa"/>
            </w:tcMar>
            <w:vAlign w:val="center"/>
          </w:tcPr>
          <w:p>
            <w:pPr>
              <w:widowControl/>
              <w:spacing w:line="240" w:lineRule="auto"/>
              <w:jc w:val="center"/>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.4.2</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激光实验时须佩戴合适的个人防护用具</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操作人员穿戴防护眼镜等防护用品、不带手表等能反光的物品；</w:t>
            </w:r>
            <w:r>
              <w:rPr>
                <w:rFonts w:hint="eastAsia" w:ascii="宋体" w:hAnsi="宋体" w:eastAsia="宋体" w:cs="宋体"/>
                <w:sz w:val="21"/>
                <w:szCs w:val="21"/>
                <w:shd w:val="clear" w:color="auto" w:fill="FFFFFF"/>
              </w:rPr>
              <w:t>禁止直视激光束和它的反向光束，禁止对激光器件做任何目视准直操作；</w:t>
            </w:r>
            <w:r>
              <w:rPr>
                <w:rFonts w:hint="eastAsia" w:ascii="宋体" w:hAnsi="宋体" w:eastAsia="宋体" w:cs="宋体"/>
                <w:bCs/>
                <w:kern w:val="0"/>
                <w:sz w:val="21"/>
                <w:szCs w:val="21"/>
              </w:rPr>
              <w:t>禁止用眼睛检查激光器故障，激光器必须在断电情况下进行检查</w:t>
            </w:r>
          </w:p>
        </w:tc>
        <w:tc>
          <w:tcPr>
            <w:tcW w:w="1874" w:type="dxa"/>
            <w:tcMar>
              <w:left w:w="45" w:type="dxa"/>
              <w:right w:w="45" w:type="dxa"/>
            </w:tcMar>
            <w:vAlign w:val="center"/>
          </w:tcPr>
          <w:p>
            <w:pPr>
              <w:widowControl/>
              <w:spacing w:line="240" w:lineRule="auto"/>
              <w:jc w:val="center"/>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.4.3</w:t>
            </w:r>
          </w:p>
        </w:tc>
        <w:tc>
          <w:tcPr>
            <w:tcW w:w="4613"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警告标识</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所有激光区域内张贴警告标识</w:t>
            </w:r>
          </w:p>
        </w:tc>
        <w:tc>
          <w:tcPr>
            <w:tcW w:w="1874" w:type="dxa"/>
            <w:tcMar>
              <w:left w:w="45" w:type="dxa"/>
              <w:right w:w="45" w:type="dxa"/>
            </w:tcMar>
            <w:vAlign w:val="center"/>
          </w:tcPr>
          <w:p>
            <w:pPr>
              <w:widowControl/>
              <w:spacing w:line="240" w:lineRule="auto"/>
              <w:jc w:val="left"/>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cs="宋体"/>
                <w:b/>
                <w:kern w:val="0"/>
                <w:sz w:val="21"/>
                <w:szCs w:val="21"/>
                <w:lang w:val="en-US" w:eastAsia="zh-CN"/>
              </w:rPr>
              <w:t>9</w:t>
            </w:r>
            <w:r>
              <w:rPr>
                <w:rFonts w:hint="eastAsia" w:ascii="宋体" w:hAnsi="宋体" w:eastAsia="宋体" w:cs="宋体"/>
                <w:b/>
                <w:kern w:val="0"/>
                <w:sz w:val="21"/>
                <w:szCs w:val="21"/>
              </w:rPr>
              <w:t>.5</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粉尘安全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.5.1</w:t>
            </w:r>
          </w:p>
        </w:tc>
        <w:tc>
          <w:tcPr>
            <w:tcW w:w="4613" w:type="dxa"/>
            <w:tcMar>
              <w:left w:w="45" w:type="dxa"/>
              <w:right w:w="45" w:type="dxa"/>
            </w:tcMar>
            <w:vAlign w:val="center"/>
          </w:tcPr>
          <w:p>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粉尘爆炸危险场所，应选用防爆型的电气设备</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防爆灯、防爆电气开关，导线敷设应选用镀锌管或水煤气管，必须达到整体防爆要求；粉尘加工要有除尘装置，除尘器符合防静电安全要求，除尘设施应有阻爆、隔爆、泄爆装置；使用工具具有防爆功能或不产生火花</w:t>
            </w:r>
          </w:p>
        </w:tc>
        <w:tc>
          <w:tcPr>
            <w:tcW w:w="1874" w:type="dxa"/>
            <w:tcMar>
              <w:left w:w="45" w:type="dxa"/>
              <w:right w:w="45" w:type="dxa"/>
            </w:tcMar>
            <w:vAlign w:val="center"/>
          </w:tcPr>
          <w:p>
            <w:pPr>
              <w:pStyle w:val="57"/>
              <w:spacing w:line="240" w:lineRule="auto"/>
              <w:ind w:firstLine="0" w:firstLineChars="0"/>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.5.2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产生粉尘的实验场所，须穿戴合适的个人防护用具</w:t>
            </w:r>
          </w:p>
        </w:tc>
        <w:tc>
          <w:tcPr>
            <w:tcW w:w="7536" w:type="dxa"/>
            <w:tcMar>
              <w:left w:w="45" w:type="dxa"/>
              <w:right w:w="45" w:type="dxa"/>
            </w:tcMar>
            <w:vAlign w:val="center"/>
          </w:tcPr>
          <w:p>
            <w:pPr>
              <w:spacing w:line="240" w:lineRule="auto"/>
              <w:rPr>
                <w:rFonts w:hint="eastAsia" w:ascii="宋体" w:hAnsi="宋体" w:eastAsia="宋体" w:cs="宋体"/>
                <w:bCs/>
                <w:kern w:val="0"/>
                <w:sz w:val="21"/>
                <w:szCs w:val="21"/>
              </w:rPr>
            </w:pPr>
            <w:r>
              <w:rPr>
                <w:rFonts w:hint="eastAsia" w:ascii="宋体" w:hAnsi="宋体" w:eastAsia="宋体" w:cs="宋体"/>
                <w:kern w:val="0"/>
                <w:sz w:val="21"/>
                <w:szCs w:val="21"/>
              </w:rPr>
              <w:t>粉尘爆炸危险场所应穿防静电棉质衣服，禁止穿化纤材料制作的衣服，工作时必须佩戴防尘口罩和护耳器</w:t>
            </w:r>
          </w:p>
        </w:tc>
        <w:tc>
          <w:tcPr>
            <w:tcW w:w="1874" w:type="dxa"/>
            <w:tcMar>
              <w:left w:w="45" w:type="dxa"/>
              <w:right w:w="45" w:type="dxa"/>
            </w:tcMar>
            <w:vAlign w:val="center"/>
          </w:tcPr>
          <w:p>
            <w:pPr>
              <w:widowControl/>
              <w:spacing w:line="240" w:lineRule="auto"/>
              <w:jc w:val="center"/>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cs="宋体"/>
                <w:kern w:val="0"/>
                <w:sz w:val="21"/>
                <w:szCs w:val="21"/>
                <w:lang w:val="en-US" w:eastAsia="zh-CN"/>
              </w:rPr>
              <w:t>9</w:t>
            </w:r>
            <w:r>
              <w:rPr>
                <w:rFonts w:hint="eastAsia" w:ascii="宋体" w:hAnsi="宋体" w:eastAsia="宋体" w:cs="宋体"/>
                <w:kern w:val="0"/>
                <w:sz w:val="21"/>
                <w:szCs w:val="21"/>
              </w:rPr>
              <w:t>.5.3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确保实验室粉尘浓度在爆炸限以下，并配备灭火装置</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粉尘浓度较高的场所，有加湿装置（喷雾）使湿度在65%以上；配备合适的灭火装置</w:t>
            </w:r>
          </w:p>
        </w:tc>
        <w:tc>
          <w:tcPr>
            <w:tcW w:w="1874" w:type="dxa"/>
            <w:tcMar>
              <w:left w:w="45" w:type="dxa"/>
              <w:right w:w="45" w:type="dxa"/>
            </w:tcMar>
            <w:vAlign w:val="center"/>
          </w:tcPr>
          <w:p>
            <w:pPr>
              <w:spacing w:line="240" w:lineRule="auto"/>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lang w:eastAsia="zh-CN"/>
              </w:rPr>
            </w:pPr>
            <w:r>
              <w:rPr>
                <w:rFonts w:hint="eastAsia" w:ascii="宋体" w:hAnsi="宋体" w:eastAsia="宋体" w:cs="宋体"/>
                <w:b/>
                <w:kern w:val="0"/>
                <w:sz w:val="21"/>
                <w:szCs w:val="21"/>
              </w:rPr>
              <w:t>1</w:t>
            </w:r>
            <w:r>
              <w:rPr>
                <w:rFonts w:hint="eastAsia" w:ascii="宋体" w:hAnsi="宋体" w:cs="宋体"/>
                <w:b/>
                <w:kern w:val="0"/>
                <w:sz w:val="21"/>
                <w:szCs w:val="21"/>
                <w:lang w:val="en-US" w:eastAsia="zh-CN"/>
              </w:rPr>
              <w:t>0</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特种设备与常规冷热设备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1</w:t>
            </w:r>
            <w:r>
              <w:rPr>
                <w:rFonts w:hint="eastAsia" w:ascii="宋体" w:hAnsi="宋体" w:cs="宋体"/>
                <w:b/>
                <w:kern w:val="0"/>
                <w:sz w:val="21"/>
                <w:szCs w:val="21"/>
                <w:lang w:val="en-US" w:eastAsia="zh-CN"/>
              </w:rPr>
              <w:t>0</w:t>
            </w:r>
            <w:r>
              <w:rPr>
                <w:rFonts w:hint="eastAsia" w:ascii="宋体" w:hAnsi="宋体" w:eastAsia="宋体" w:cs="宋体"/>
                <w:b/>
                <w:kern w:val="0"/>
                <w:sz w:val="21"/>
                <w:szCs w:val="21"/>
              </w:rPr>
              <w:t>.1</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起重类设备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.1.1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额定起重量大于规定值的设备须取得《特种设备使用登记证》</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额定起重量大于或者等于0.5t的升降机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额定起重量大于等于3吨且提升高度大于等于2米的起重设备须取得《特种设备使用登记证》，低于额度限定值的可不办理《特种设备使用登记证》</w:t>
            </w:r>
          </w:p>
        </w:tc>
        <w:tc>
          <w:tcPr>
            <w:tcW w:w="1874" w:type="dxa"/>
            <w:tcMar>
              <w:left w:w="45" w:type="dxa"/>
              <w:right w:w="45" w:type="dxa"/>
            </w:tcMar>
            <w:vAlign w:val="center"/>
          </w:tcPr>
          <w:p>
            <w:pPr>
              <w:widowControl/>
              <w:spacing w:line="240" w:lineRule="auto"/>
              <w:jc w:val="center"/>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.1.2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起重机械作业人员、检验单位须有相关资质</w:t>
            </w:r>
          </w:p>
        </w:tc>
        <w:tc>
          <w:tcPr>
            <w:tcW w:w="7536" w:type="dxa"/>
            <w:tcMar>
              <w:left w:w="45" w:type="dxa"/>
              <w:right w:w="45" w:type="dxa"/>
            </w:tcMar>
            <w:vAlign w:val="center"/>
          </w:tcPr>
          <w:p>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起重机指挥、起重机司机须取得《特种设备作业人员证》，持证上岗，并每4年复审一次；委托有资质单位进行定期检验，并将定期检验合格证置于特种设备显著位置</w:t>
            </w:r>
          </w:p>
        </w:tc>
        <w:tc>
          <w:tcPr>
            <w:tcW w:w="1874" w:type="dxa"/>
            <w:tcMar>
              <w:left w:w="45" w:type="dxa"/>
              <w:right w:w="45" w:type="dxa"/>
            </w:tcMar>
            <w:vAlign w:val="center"/>
          </w:tcPr>
          <w:p>
            <w:pPr>
              <w:widowControl/>
              <w:spacing w:line="240" w:lineRule="auto"/>
              <w:jc w:val="center"/>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.1.3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起重机械需定期保养，设置警示标识，安装防护设施</w:t>
            </w:r>
          </w:p>
        </w:tc>
        <w:tc>
          <w:tcPr>
            <w:tcW w:w="7536" w:type="dxa"/>
            <w:tcMar>
              <w:left w:w="45" w:type="dxa"/>
              <w:right w:w="45" w:type="dxa"/>
            </w:tcMar>
            <w:vAlign w:val="center"/>
          </w:tcPr>
          <w:p>
            <w:pPr>
              <w:widowControl/>
              <w:spacing w:line="240" w:lineRule="auto"/>
              <w:jc w:val="left"/>
              <w:rPr>
                <w:rFonts w:hint="eastAsia" w:ascii="宋体" w:hAnsi="宋体" w:eastAsia="宋体" w:cs="宋体"/>
                <w:b/>
                <w:bCs/>
                <w:kern w:val="0"/>
                <w:sz w:val="21"/>
                <w:szCs w:val="21"/>
              </w:rPr>
            </w:pPr>
            <w:r>
              <w:rPr>
                <w:rFonts w:hint="eastAsia" w:ascii="宋体" w:hAnsi="宋体" w:eastAsia="宋体" w:cs="宋体"/>
                <w:kern w:val="0"/>
                <w:sz w:val="21"/>
                <w:szCs w:val="21"/>
              </w:rPr>
              <w:t>在用起重机械至少每月进行一次日常维护保养和自行检查，并作记录；制定安全操作规程，并在周边醒目位置张贴警示标识，有必要的防护措施；起重设备声光报警正常，室内起重设备要标有运行通道；废弃不用的起重机械应及时拆除</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1</w:t>
            </w:r>
            <w:r>
              <w:rPr>
                <w:rFonts w:hint="eastAsia" w:ascii="宋体" w:hAnsi="宋体" w:cs="宋体"/>
                <w:b/>
                <w:kern w:val="0"/>
                <w:sz w:val="21"/>
                <w:szCs w:val="21"/>
                <w:lang w:val="en-US" w:eastAsia="zh-CN"/>
              </w:rPr>
              <w:t>0</w:t>
            </w:r>
            <w:r>
              <w:rPr>
                <w:rFonts w:hint="eastAsia" w:ascii="宋体" w:hAnsi="宋体" w:eastAsia="宋体" w:cs="宋体"/>
                <w:b/>
                <w:kern w:val="0"/>
                <w:sz w:val="21"/>
                <w:szCs w:val="21"/>
              </w:rPr>
              <w:t>.2</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b/>
                <w:kern w:val="0"/>
                <w:sz w:val="21"/>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.2.1</w:t>
            </w:r>
          </w:p>
        </w:tc>
        <w:tc>
          <w:tcPr>
            <w:tcW w:w="4613" w:type="dxa"/>
            <w:tcMar>
              <w:left w:w="45" w:type="dxa"/>
              <w:right w:w="45" w:type="dxa"/>
            </w:tcMar>
            <w:vAlign w:val="center"/>
          </w:tcPr>
          <w:p>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规定压力容器</w:t>
            </w:r>
            <w:r>
              <w:rPr>
                <w:rFonts w:hint="eastAsia" w:ascii="宋体" w:hAnsi="宋体" w:eastAsia="宋体" w:cs="宋体"/>
                <w:bCs/>
                <w:kern w:val="0"/>
                <w:sz w:val="21"/>
                <w:szCs w:val="21"/>
              </w:rPr>
              <w:t>须</w:t>
            </w:r>
            <w:r>
              <w:rPr>
                <w:rFonts w:hint="eastAsia" w:ascii="宋体" w:hAnsi="宋体" w:eastAsia="宋体" w:cs="宋体"/>
                <w:kern w:val="0"/>
                <w:sz w:val="21"/>
                <w:szCs w:val="21"/>
              </w:rPr>
              <w:t>取得《特种设备使用登记证》和《特种设备使用登记表》</w:t>
            </w:r>
          </w:p>
        </w:tc>
        <w:tc>
          <w:tcPr>
            <w:tcW w:w="7536" w:type="dxa"/>
            <w:tcMar>
              <w:left w:w="45" w:type="dxa"/>
              <w:right w:w="45" w:type="dxa"/>
            </w:tcMar>
            <w:vAlign w:val="center"/>
          </w:tcPr>
          <w:p>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压力大于等于0.1兆帕且容积大于等于30升的压力容器，</w:t>
            </w:r>
            <w:r>
              <w:rPr>
                <w:rFonts w:hint="eastAsia" w:ascii="宋体" w:hAnsi="宋体" w:eastAsia="宋体" w:cs="宋体"/>
                <w:bCs/>
                <w:kern w:val="0"/>
                <w:sz w:val="21"/>
                <w:szCs w:val="21"/>
              </w:rPr>
              <w:t>须</w:t>
            </w:r>
            <w:r>
              <w:rPr>
                <w:rFonts w:hint="eastAsia" w:ascii="宋体" w:hAnsi="宋体" w:eastAsia="宋体" w:cs="宋体"/>
                <w:kern w:val="0"/>
                <w:sz w:val="21"/>
                <w:szCs w:val="21"/>
              </w:rPr>
              <w:t>取得《特种设备使用登记证》《特种设备使用登记表》《特种设备使用标志》；设备铭牌上标明为简单压力容器不需办理</w:t>
            </w:r>
          </w:p>
        </w:tc>
        <w:tc>
          <w:tcPr>
            <w:tcW w:w="1874" w:type="dxa"/>
            <w:tcMar>
              <w:left w:w="45" w:type="dxa"/>
              <w:right w:w="45" w:type="dxa"/>
            </w:tcMar>
            <w:vAlign w:val="center"/>
          </w:tcPr>
          <w:p>
            <w:pPr>
              <w:spacing w:line="240" w:lineRule="auto"/>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.2.2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压力容器作业人员、检验单位须有相关资质</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快开门式压力容器操作人员、移动式压力容器充装人员、氧舱维护保养人员，持证上岗，取得《特种设备作业人员证》，并</w:t>
            </w:r>
            <w:r>
              <w:rPr>
                <w:rFonts w:hint="eastAsia" w:ascii="宋体" w:hAnsi="宋体" w:cs="宋体"/>
                <w:kern w:val="0"/>
                <w:sz w:val="21"/>
                <w:szCs w:val="21"/>
                <w:lang w:val="en-US" w:eastAsia="zh-CN"/>
              </w:rPr>
              <w:t>按规定</w:t>
            </w:r>
            <w:r>
              <w:rPr>
                <w:rFonts w:hint="eastAsia" w:ascii="宋体" w:hAnsi="宋体" w:eastAsia="宋体" w:cs="宋体"/>
                <w:kern w:val="0"/>
                <w:sz w:val="21"/>
                <w:szCs w:val="21"/>
              </w:rPr>
              <w:t>复审一次；委托有资质单位进行定期检验，并将定期检验合格证置于特种设备显著位置；安全阀或压力表等附件需委托有资质单位定期校验或检定</w:t>
            </w:r>
          </w:p>
        </w:tc>
        <w:tc>
          <w:tcPr>
            <w:tcW w:w="1874" w:type="dxa"/>
            <w:tcMar>
              <w:left w:w="45" w:type="dxa"/>
              <w:right w:w="45" w:type="dxa"/>
            </w:tcMar>
            <w:vAlign w:val="center"/>
          </w:tcPr>
          <w:p>
            <w:pPr>
              <w:spacing w:line="240" w:lineRule="auto"/>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.2.3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压力容器的存放区域合理，有安全警示标识</w:t>
            </w:r>
          </w:p>
        </w:tc>
        <w:tc>
          <w:tcPr>
            <w:tcW w:w="7536"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r>
              <w:rPr>
                <w:rFonts w:hint="eastAsia" w:ascii="宋体" w:hAnsi="宋体" w:eastAsia="宋体" w:cs="宋体"/>
                <w:kern w:val="0"/>
                <w:sz w:val="21"/>
                <w:szCs w:val="21"/>
              </w:rPr>
              <w:t>大型实验气体罐的存储场所应通风、干燥、防止雨（雪）淋、水浸，避免阳光直射，严禁明火和其它热源；大型实验气体（窒息、可燃类）罐必须放置在室外，周围设置隔离装置、安全警示标识；可燃性气罐远离火源热源</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.2.4</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存储可燃、爆炸性气体的气罐满足防爆要求</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容器的电器开关和熔断器都应设置在明显位置，同时应设避雷装置；电气设施是否防爆，避雷装置接地良好</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.2.5</w:t>
            </w:r>
          </w:p>
        </w:tc>
        <w:tc>
          <w:tcPr>
            <w:tcW w:w="4613" w:type="dxa"/>
            <w:tcMar>
              <w:left w:w="45" w:type="dxa"/>
              <w:right w:w="45" w:type="dxa"/>
            </w:tcMar>
            <w:vAlign w:val="center"/>
          </w:tcPr>
          <w:p>
            <w:pPr>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压力容器应有专用管理制度和操作规程，实行使用登记</w:t>
            </w:r>
          </w:p>
        </w:tc>
        <w:tc>
          <w:tcPr>
            <w:tcW w:w="7536" w:type="dxa"/>
            <w:tcMar>
              <w:left w:w="45" w:type="dxa"/>
              <w:right w:w="45" w:type="dxa"/>
            </w:tcMar>
            <w:vAlign w:val="center"/>
          </w:tcPr>
          <w:p>
            <w:pPr>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制定大型气体罐管理制度和操作规程，落实维护、保养及安全责任制；实行使用登记制度，及时填写使用登记表；定期检查大型实验气体罐外观及附件是否完好</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1</w:t>
            </w:r>
            <w:r>
              <w:rPr>
                <w:rFonts w:hint="eastAsia" w:ascii="宋体" w:hAnsi="宋体" w:cs="宋体"/>
                <w:b/>
                <w:kern w:val="0"/>
                <w:sz w:val="21"/>
                <w:szCs w:val="21"/>
                <w:lang w:val="en-US" w:eastAsia="zh-CN"/>
              </w:rPr>
              <w:t>0</w:t>
            </w:r>
            <w:r>
              <w:rPr>
                <w:rFonts w:hint="eastAsia" w:ascii="宋体" w:hAnsi="宋体" w:eastAsia="宋体" w:cs="宋体"/>
                <w:b/>
                <w:kern w:val="0"/>
                <w:sz w:val="21"/>
                <w:szCs w:val="21"/>
              </w:rPr>
              <w:t>.3</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场（厂）内专用机动车辆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.3.1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取得《厂内机动车辆监督检验报告》</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查看报告</w:t>
            </w:r>
          </w:p>
        </w:tc>
        <w:tc>
          <w:tcPr>
            <w:tcW w:w="1874" w:type="dxa"/>
            <w:tcMar>
              <w:left w:w="45" w:type="dxa"/>
              <w:right w:w="45" w:type="dxa"/>
            </w:tcMar>
            <w:vAlign w:val="center"/>
          </w:tcPr>
          <w:p>
            <w:pPr>
              <w:widowControl/>
              <w:spacing w:line="240" w:lineRule="auto"/>
              <w:jc w:val="center"/>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.3.2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作业人员取得《特种设备作业人员证》，持证上岗</w:t>
            </w:r>
          </w:p>
        </w:tc>
        <w:tc>
          <w:tcPr>
            <w:tcW w:w="7536" w:type="dxa"/>
            <w:tcMar>
              <w:left w:w="45" w:type="dxa"/>
              <w:right w:w="45" w:type="dxa"/>
            </w:tcMar>
            <w:vAlign w:val="center"/>
          </w:tcPr>
          <w:p>
            <w:pPr>
              <w:spacing w:line="240" w:lineRule="auto"/>
              <w:rPr>
                <w:rFonts w:hint="eastAsia" w:ascii="宋体" w:hAnsi="宋体" w:eastAsia="宋体" w:cs="宋体"/>
                <w:b/>
                <w:bCs/>
                <w:kern w:val="0"/>
                <w:sz w:val="21"/>
                <w:szCs w:val="21"/>
              </w:rPr>
            </w:pPr>
            <w:r>
              <w:rPr>
                <w:rFonts w:hint="eastAsia" w:ascii="宋体" w:hAnsi="宋体" w:eastAsia="宋体" w:cs="宋体"/>
                <w:kern w:val="0"/>
                <w:sz w:val="21"/>
                <w:szCs w:val="21"/>
              </w:rPr>
              <w:t>作业人员的《特种设备作业人员证》在有效期内</w:t>
            </w:r>
          </w:p>
        </w:tc>
        <w:tc>
          <w:tcPr>
            <w:tcW w:w="1874" w:type="dxa"/>
            <w:tcMar>
              <w:left w:w="45" w:type="dxa"/>
              <w:right w:w="45" w:type="dxa"/>
            </w:tcMar>
            <w:vAlign w:val="center"/>
          </w:tcPr>
          <w:p>
            <w:pPr>
              <w:widowControl/>
              <w:spacing w:line="240" w:lineRule="auto"/>
              <w:jc w:val="center"/>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.3.3</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委托有资质单位进行定期检验</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合格证在有效期内</w:t>
            </w:r>
          </w:p>
        </w:tc>
        <w:tc>
          <w:tcPr>
            <w:tcW w:w="1874" w:type="dxa"/>
            <w:tcMar>
              <w:left w:w="45" w:type="dxa"/>
              <w:right w:w="45" w:type="dxa"/>
            </w:tcMar>
            <w:vAlign w:val="center"/>
          </w:tcPr>
          <w:p>
            <w:pPr>
              <w:widowControl/>
              <w:spacing w:line="240" w:lineRule="auto"/>
              <w:jc w:val="center"/>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1</w:t>
            </w:r>
            <w:r>
              <w:rPr>
                <w:rFonts w:hint="eastAsia" w:ascii="宋体" w:hAnsi="宋体" w:cs="宋体"/>
                <w:b/>
                <w:kern w:val="0"/>
                <w:sz w:val="21"/>
                <w:szCs w:val="21"/>
                <w:lang w:val="en-US" w:eastAsia="zh-CN"/>
              </w:rPr>
              <w:t>0</w:t>
            </w:r>
            <w:r>
              <w:rPr>
                <w:rFonts w:hint="eastAsia" w:ascii="宋体" w:hAnsi="宋体" w:eastAsia="宋体" w:cs="宋体"/>
                <w:b/>
                <w:kern w:val="0"/>
                <w:sz w:val="21"/>
                <w:szCs w:val="21"/>
              </w:rPr>
              <w:t>.4</w:t>
            </w:r>
          </w:p>
        </w:tc>
        <w:tc>
          <w:tcPr>
            <w:tcW w:w="14023" w:type="dxa"/>
            <w:gridSpan w:val="3"/>
            <w:tcMar>
              <w:left w:w="45" w:type="dxa"/>
              <w:right w:w="45" w:type="dxa"/>
            </w:tcMar>
            <w:vAlign w:val="center"/>
          </w:tcPr>
          <w:p>
            <w:pPr>
              <w:widowControl/>
              <w:spacing w:line="240" w:lineRule="auto"/>
              <w:jc w:val="left"/>
              <w:rPr>
                <w:rFonts w:hint="eastAsia" w:ascii="宋体" w:hAnsi="宋体" w:eastAsia="宋体" w:cs="宋体"/>
                <w:b/>
                <w:kern w:val="0"/>
                <w:sz w:val="21"/>
                <w:szCs w:val="21"/>
              </w:rPr>
            </w:pPr>
            <w:r>
              <w:rPr>
                <w:rFonts w:hint="eastAsia" w:ascii="宋体" w:hAnsi="宋体" w:eastAsia="宋体" w:cs="宋体"/>
                <w:b/>
                <w:kern w:val="0"/>
                <w:sz w:val="21"/>
                <w:szCs w:val="21"/>
              </w:rPr>
              <w:t>加热及制冷装置管理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.4.1</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贮存危险化学品的冰箱满足防爆要求</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贮存危险化学品的冰箱应为防爆冰箱或经过防爆改造的冰箱，并在冰箱门上注明是否防爆</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0</w:t>
            </w:r>
            <w:r>
              <w:rPr>
                <w:rFonts w:hint="eastAsia" w:ascii="宋体" w:hAnsi="宋体" w:eastAsia="宋体" w:cs="宋体"/>
                <w:kern w:val="0"/>
                <w:sz w:val="21"/>
                <w:szCs w:val="21"/>
              </w:rPr>
              <w:t>.4.2</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冰箱内存放的物品须标识明确，试剂必须可靠密封</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标识至少包括：名称、使用人、日期等，并经常清理；试剂瓶螺口拧紧，无开口容器；实验室冰箱中不放置非实验用食品</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10.4.3</w:t>
            </w:r>
          </w:p>
        </w:tc>
        <w:tc>
          <w:tcPr>
            <w:tcW w:w="4613"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制冷剂、冷媒及制冷工艺、设备应符合安全要求</w:t>
            </w:r>
          </w:p>
        </w:tc>
        <w:tc>
          <w:tcPr>
            <w:tcW w:w="7536" w:type="dxa"/>
            <w:tcMar>
              <w:left w:w="45" w:type="dxa"/>
              <w:right w:w="45" w:type="dxa"/>
            </w:tcMar>
            <w:vAlign w:val="center"/>
          </w:tcPr>
          <w:p>
            <w:pPr>
              <w:widowControl/>
              <w:spacing w:line="240" w:lineRule="auto"/>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查看现场</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1</w:t>
            </w:r>
            <w:r>
              <w:rPr>
                <w:rFonts w:hint="eastAsia" w:ascii="宋体" w:hAnsi="宋体" w:eastAsia="宋体" w:cs="宋体"/>
                <w:kern w:val="0"/>
                <w:sz w:val="21"/>
                <w:szCs w:val="21"/>
              </w:rPr>
              <w:t>.4.</w:t>
            </w:r>
            <w:r>
              <w:rPr>
                <w:rFonts w:hint="eastAsia" w:ascii="宋体" w:hAnsi="宋体" w:cs="宋体"/>
                <w:kern w:val="0"/>
                <w:sz w:val="21"/>
                <w:szCs w:val="21"/>
                <w:lang w:val="en-US" w:eastAsia="zh-CN"/>
              </w:rPr>
              <w:t>4</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冰箱、烘箱、电阻炉的使用满足使用</w:t>
            </w:r>
            <w:r>
              <w:rPr>
                <w:rFonts w:hint="eastAsia" w:ascii="宋体" w:hAnsi="宋体" w:cs="宋体"/>
                <w:kern w:val="0"/>
                <w:sz w:val="21"/>
                <w:szCs w:val="21"/>
                <w:lang w:val="en-US" w:eastAsia="zh-CN"/>
              </w:rPr>
              <w:t>期限</w:t>
            </w:r>
            <w:r>
              <w:rPr>
                <w:rFonts w:hint="eastAsia" w:ascii="宋体" w:hAnsi="宋体" w:eastAsia="宋体" w:cs="宋体"/>
                <w:kern w:val="0"/>
                <w:sz w:val="21"/>
                <w:szCs w:val="21"/>
              </w:rPr>
              <w:t>和空间等要求</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冰箱不超期使用（一般使用期限控制为10年），如超期使用需经审批；冰箱周围留出足够空间，周围不堆放杂物，不影响散热；烘箱、电阻炉不超期使用（一般使用期限控制为12年），如超期使用需经审批；加热设备应放置在通风干燥处，不直接放</w:t>
            </w:r>
            <w:bookmarkStart w:id="0" w:name="_GoBack"/>
            <w:bookmarkEnd w:id="0"/>
            <w:r>
              <w:rPr>
                <w:rFonts w:hint="eastAsia" w:ascii="宋体" w:hAnsi="宋体" w:eastAsia="宋体" w:cs="宋体"/>
                <w:kern w:val="0"/>
                <w:sz w:val="21"/>
                <w:szCs w:val="21"/>
              </w:rPr>
              <w:t>置在木桌、木板等易燃物品上，周围有一定的散热空间，设备旁不能放置易燃易爆化学品、气体钢瓶、冰箱、杂物等</w:t>
            </w:r>
          </w:p>
        </w:tc>
        <w:tc>
          <w:tcPr>
            <w:tcW w:w="1874" w:type="dxa"/>
            <w:tcMar>
              <w:left w:w="45" w:type="dxa"/>
              <w:right w:w="45" w:type="dxa"/>
            </w:tcMar>
            <w:vAlign w:val="center"/>
          </w:tcPr>
          <w:p>
            <w:pPr>
              <w:widowControl/>
              <w:spacing w:line="240" w:lineRule="auto"/>
              <w:jc w:val="lef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1</w:t>
            </w:r>
            <w:r>
              <w:rPr>
                <w:rFonts w:hint="eastAsia" w:ascii="宋体" w:hAnsi="宋体" w:eastAsia="宋体" w:cs="宋体"/>
                <w:kern w:val="0"/>
                <w:sz w:val="21"/>
                <w:szCs w:val="21"/>
              </w:rPr>
              <w:t>.4.</w:t>
            </w:r>
            <w:r>
              <w:rPr>
                <w:rFonts w:hint="eastAsia" w:ascii="宋体" w:hAnsi="宋体" w:cs="宋体"/>
                <w:kern w:val="0"/>
                <w:sz w:val="21"/>
                <w:szCs w:val="21"/>
                <w:lang w:val="en-US" w:eastAsia="zh-CN"/>
              </w:rPr>
              <w:t>5</w:t>
            </w:r>
          </w:p>
        </w:tc>
        <w:tc>
          <w:tcPr>
            <w:tcW w:w="4613"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烘箱、电阻炉等加热设备须制定安全操作规程</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加热设备周边醒目位置张贴有高温警示标识，并有必要的防护措施张贴有安全操作规程、警示标识；烘箱等加热设备内不准烘烤易燃易爆试剂及易燃物品；不使用塑料筐等易燃容器盛放实验物品在烘箱等加热设备内烘烤；使用完毕，清理物品、切断电源，确认其冷却至安全温度后方能离开；使用电阻炉等明火设备时有人值守；使用加热设备时，温度较高的实验需有人值守或有实时监控措施</w:t>
            </w:r>
          </w:p>
        </w:tc>
        <w:tc>
          <w:tcPr>
            <w:tcW w:w="1874"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1</w:t>
            </w:r>
            <w:r>
              <w:rPr>
                <w:rFonts w:hint="eastAsia" w:ascii="宋体" w:hAnsi="宋体" w:eastAsia="宋体" w:cs="宋体"/>
                <w:kern w:val="0"/>
                <w:sz w:val="21"/>
                <w:szCs w:val="21"/>
              </w:rPr>
              <w:t>.4.</w:t>
            </w:r>
            <w:r>
              <w:rPr>
                <w:rFonts w:hint="eastAsia" w:ascii="宋体" w:hAnsi="宋体" w:cs="宋体"/>
                <w:kern w:val="0"/>
                <w:sz w:val="21"/>
                <w:szCs w:val="21"/>
                <w:lang w:val="en-US" w:eastAsia="zh-CN"/>
              </w:rPr>
              <w:t>6</w:t>
            </w:r>
          </w:p>
        </w:tc>
        <w:tc>
          <w:tcPr>
            <w:tcW w:w="4613" w:type="dxa"/>
            <w:tcMar>
              <w:left w:w="45" w:type="dxa"/>
              <w:right w:w="45" w:type="dxa"/>
            </w:tcMar>
            <w:vAlign w:val="center"/>
          </w:tcPr>
          <w:p>
            <w:pPr>
              <w:widowControl/>
              <w:spacing w:line="240" w:lineRule="auto"/>
              <w:jc w:val="left"/>
              <w:rPr>
                <w:rFonts w:hint="eastAsia" w:ascii="宋体" w:hAnsi="宋体" w:eastAsia="宋体" w:cs="宋体"/>
                <w:sz w:val="21"/>
                <w:szCs w:val="21"/>
              </w:rPr>
            </w:pPr>
            <w:r>
              <w:rPr>
                <w:rFonts w:hint="eastAsia" w:ascii="宋体" w:hAnsi="宋体" w:eastAsia="宋体" w:cs="宋体"/>
                <w:kern w:val="0"/>
                <w:sz w:val="21"/>
                <w:szCs w:val="21"/>
              </w:rPr>
              <w:t>使用明火电炉或者电吹风须有安全防范举措</w:t>
            </w:r>
          </w:p>
        </w:tc>
        <w:tc>
          <w:tcPr>
            <w:tcW w:w="7536"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涉及化学品的实验室不使用明火电炉；如必须使用，须有安全防范措施；不使用明火电炉加热易燃易爆试剂；明火电炉、电吹风、电热枪等用毕，须及时拔除电源插头；不能用纸质、木质等材料自制红外灯烘箱</w:t>
            </w:r>
          </w:p>
        </w:tc>
        <w:tc>
          <w:tcPr>
            <w:tcW w:w="1874" w:type="dxa"/>
            <w:tcMar>
              <w:left w:w="45" w:type="dxa"/>
              <w:right w:w="45" w:type="dxa"/>
            </w:tcMar>
            <w:vAlign w:val="center"/>
          </w:tcPr>
          <w:p>
            <w:pPr>
              <w:widowControl/>
              <w:spacing w:line="240" w:lineRule="auto"/>
              <w:jc w:val="left"/>
              <w:rPr>
                <w:rFonts w:hint="eastAsia" w:ascii="宋体" w:hAnsi="宋体" w:eastAsia="宋体" w:cs="宋体"/>
                <w:kern w:val="0"/>
                <w:sz w:val="21"/>
                <w:szCs w:val="21"/>
              </w:rPr>
            </w:pPr>
          </w:p>
        </w:tc>
      </w:tr>
    </w:tbl>
    <w:p>
      <w:pPr>
        <w:adjustRightInd w:val="0"/>
        <w:snapToGrid w:val="0"/>
        <w:spacing w:before="156" w:beforeLines="50"/>
        <w:jc w:val="left"/>
      </w:pPr>
    </w:p>
    <w:sectPr>
      <w:footerReference r:id="rId4" w:type="default"/>
      <w:pgSz w:w="16838" w:h="11906" w:orient="landscape"/>
      <w:pgMar w:top="1077" w:right="1418" w:bottom="964"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文鼎大标宋简">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lang w:val="zh-CN"/>
      </w:rPr>
      <w:t>1</w:t>
    </w:r>
    <w:r>
      <w:rPr>
        <w:sz w:val="20"/>
        <w:szCs w:val="20"/>
      </w:rPr>
      <w:fldChar w:fldCharType="end"/>
    </w:r>
  </w:p>
  <w:p>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5"/>
        <w:snapToGrid w:val="0"/>
        <w:rPr>
          <w:rFonts w:hint="eastAsia" w:ascii="仿宋_GB2312" w:hAnsi="仿宋_GB2312" w:eastAsia="仿宋_GB2312" w:cs="仿宋_GB2312"/>
          <w:sz w:val="21"/>
          <w:szCs w:val="21"/>
        </w:rPr>
      </w:pPr>
      <w:r>
        <w:rPr>
          <w:rStyle w:val="28"/>
          <w:rFonts w:hint="eastAsia" w:ascii="仿宋_GB2312" w:hAnsi="仿宋_GB2312" w:eastAsia="仿宋_GB2312" w:cs="仿宋_GB2312"/>
          <w:sz w:val="21"/>
          <w:szCs w:val="32"/>
        </w:rPr>
        <w:footnoteRef/>
      </w:r>
      <w:r>
        <w:rPr>
          <w:rFonts w:hint="eastAsia" w:ascii="仿宋_GB2312" w:hAnsi="仿宋_GB2312" w:eastAsia="仿宋_GB2312" w:cs="仿宋_GB2312"/>
          <w:sz w:val="21"/>
          <w:szCs w:val="32"/>
        </w:rPr>
        <w:t xml:space="preserve"> </w:t>
      </w:r>
      <w:r>
        <w:rPr>
          <w:rFonts w:hint="eastAsia" w:ascii="仿宋_GB2312" w:hAnsi="仿宋_GB2312" w:eastAsia="仿宋_GB2312" w:cs="仿宋_GB2312"/>
          <w:b w:val="0"/>
          <w:bCs/>
          <w:sz w:val="21"/>
          <w:szCs w:val="21"/>
          <w:lang w:val="en-US" w:eastAsia="zh-CN"/>
        </w:rPr>
        <w:t>本检查表不适用中试实验室</w:t>
      </w:r>
    </w:p>
  </w:footnote>
  <w:footnote w:id="1">
    <w:p>
      <w:pPr>
        <w:pStyle w:val="15"/>
        <w:snapToGrid w:val="0"/>
        <w:rPr>
          <w:rFonts w:hint="eastAsia" w:ascii="仿宋_GB2312" w:hAnsi="仿宋_GB2312" w:eastAsia="仿宋_GB2312" w:cs="仿宋_GB2312"/>
          <w:b w:val="0"/>
          <w:bCs/>
          <w:sz w:val="21"/>
          <w:szCs w:val="21"/>
          <w:lang w:val="en-US" w:eastAsia="zh-CN"/>
        </w:rPr>
      </w:pPr>
      <w:r>
        <w:rPr>
          <w:rStyle w:val="28"/>
        </w:rPr>
        <w:footnoteRef/>
      </w:r>
      <w:r>
        <w:t xml:space="preserve"> </w:t>
      </w:r>
      <w:r>
        <w:rPr>
          <w:rFonts w:hint="eastAsia" w:ascii="仿宋_GB2312" w:hAnsi="仿宋_GB2312" w:eastAsia="仿宋_GB2312" w:cs="仿宋_GB2312"/>
          <w:b w:val="0"/>
          <w:bCs/>
          <w:sz w:val="21"/>
          <w:szCs w:val="21"/>
          <w:lang w:val="en-US" w:eastAsia="zh-CN"/>
        </w:rPr>
        <w:t>危险源：可能导致死亡、伤害、职业病、财产损失、工作环境破坏或这些情况组合的根源或状态。</w:t>
      </w:r>
    </w:p>
  </w:footnote>
  <w:footnote w:id="2">
    <w:p>
      <w:pPr>
        <w:widowControl/>
        <w:spacing w:line="240" w:lineRule="auto"/>
        <w:jc w:val="left"/>
        <w:rPr>
          <w:rFonts w:hint="eastAsia" w:ascii="仿宋_GB2312" w:hAnsi="仿宋_GB2312" w:eastAsia="仿宋_GB2312" w:cs="仿宋_GB2312"/>
          <w:b w:val="0"/>
          <w:bCs/>
          <w:kern w:val="2"/>
          <w:sz w:val="21"/>
          <w:szCs w:val="21"/>
          <w:lang w:val="en-US" w:eastAsia="zh-CN" w:bidi="ar-SA"/>
        </w:rPr>
      </w:pPr>
      <w:r>
        <w:rPr>
          <w:rFonts w:hint="eastAsia" w:ascii="仿宋_GB2312" w:hAnsi="仿宋_GB2312" w:eastAsia="仿宋_GB2312" w:cs="仿宋_GB2312"/>
          <w:b w:val="0"/>
          <w:bCs/>
          <w:kern w:val="2"/>
          <w:sz w:val="21"/>
          <w:szCs w:val="21"/>
          <w:lang w:val="en-US" w:eastAsia="zh-CN" w:bidi="ar-SA"/>
        </w:rPr>
        <w:footnoteRef/>
      </w:r>
      <w:r>
        <w:rPr>
          <w:rFonts w:hint="eastAsia" w:ascii="仿宋_GB2312" w:hAnsi="仿宋_GB2312" w:eastAsia="仿宋_GB2312" w:cs="仿宋_GB2312"/>
          <w:b w:val="0"/>
          <w:bCs/>
          <w:kern w:val="2"/>
          <w:sz w:val="21"/>
          <w:szCs w:val="21"/>
          <w:lang w:val="en-US" w:eastAsia="zh-CN" w:bidi="ar-SA"/>
        </w:rPr>
        <w:t xml:space="preserve"> 重要危险源：指在易燃、易爆、有毒、有害、易腐蚀、高温、高压、真空、深冷、等条件下进行操作的实验装置或及可能形成爆炸、火灾、中毒的物质、场所等。</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F3"/>
    <w:rsid w:val="0000096B"/>
    <w:rsid w:val="00000F53"/>
    <w:rsid w:val="00000FA6"/>
    <w:rsid w:val="00001131"/>
    <w:rsid w:val="00001B5F"/>
    <w:rsid w:val="000034C6"/>
    <w:rsid w:val="000038DB"/>
    <w:rsid w:val="00005E28"/>
    <w:rsid w:val="0000690C"/>
    <w:rsid w:val="00012096"/>
    <w:rsid w:val="00012558"/>
    <w:rsid w:val="0001270F"/>
    <w:rsid w:val="00014177"/>
    <w:rsid w:val="00016CC4"/>
    <w:rsid w:val="00017B97"/>
    <w:rsid w:val="00020325"/>
    <w:rsid w:val="00021729"/>
    <w:rsid w:val="00025D3E"/>
    <w:rsid w:val="00027CE8"/>
    <w:rsid w:val="00032348"/>
    <w:rsid w:val="000338EE"/>
    <w:rsid w:val="000344B2"/>
    <w:rsid w:val="000349F6"/>
    <w:rsid w:val="00035A9B"/>
    <w:rsid w:val="00036149"/>
    <w:rsid w:val="00037567"/>
    <w:rsid w:val="0004022D"/>
    <w:rsid w:val="00041761"/>
    <w:rsid w:val="00045AFE"/>
    <w:rsid w:val="000500EB"/>
    <w:rsid w:val="00050A3F"/>
    <w:rsid w:val="000534B0"/>
    <w:rsid w:val="000539E4"/>
    <w:rsid w:val="00054FE8"/>
    <w:rsid w:val="0005502C"/>
    <w:rsid w:val="000561EB"/>
    <w:rsid w:val="000622E7"/>
    <w:rsid w:val="00062B6A"/>
    <w:rsid w:val="000631C4"/>
    <w:rsid w:val="00063601"/>
    <w:rsid w:val="00064691"/>
    <w:rsid w:val="00065355"/>
    <w:rsid w:val="000662B9"/>
    <w:rsid w:val="00067A83"/>
    <w:rsid w:val="0007264E"/>
    <w:rsid w:val="000730A7"/>
    <w:rsid w:val="000740FE"/>
    <w:rsid w:val="00074118"/>
    <w:rsid w:val="00075121"/>
    <w:rsid w:val="000841ED"/>
    <w:rsid w:val="00085554"/>
    <w:rsid w:val="00085646"/>
    <w:rsid w:val="00087332"/>
    <w:rsid w:val="0009012A"/>
    <w:rsid w:val="00090D7D"/>
    <w:rsid w:val="000927AE"/>
    <w:rsid w:val="00094034"/>
    <w:rsid w:val="0009716A"/>
    <w:rsid w:val="00097205"/>
    <w:rsid w:val="000A2040"/>
    <w:rsid w:val="000A3CF6"/>
    <w:rsid w:val="000A4456"/>
    <w:rsid w:val="000A4F36"/>
    <w:rsid w:val="000B02CC"/>
    <w:rsid w:val="000B1A65"/>
    <w:rsid w:val="000B1EB0"/>
    <w:rsid w:val="000B2614"/>
    <w:rsid w:val="000B340F"/>
    <w:rsid w:val="000B3E2E"/>
    <w:rsid w:val="000B4F55"/>
    <w:rsid w:val="000B58F2"/>
    <w:rsid w:val="000B60EE"/>
    <w:rsid w:val="000B6445"/>
    <w:rsid w:val="000B6BC0"/>
    <w:rsid w:val="000C52A4"/>
    <w:rsid w:val="000C62A8"/>
    <w:rsid w:val="000C6456"/>
    <w:rsid w:val="000C70C0"/>
    <w:rsid w:val="000C7BC8"/>
    <w:rsid w:val="000D0C65"/>
    <w:rsid w:val="000D40D9"/>
    <w:rsid w:val="000D6F10"/>
    <w:rsid w:val="000D7D16"/>
    <w:rsid w:val="000E030A"/>
    <w:rsid w:val="000E17CE"/>
    <w:rsid w:val="000E1AAB"/>
    <w:rsid w:val="000E624C"/>
    <w:rsid w:val="000F23FC"/>
    <w:rsid w:val="000F26AC"/>
    <w:rsid w:val="000F33FC"/>
    <w:rsid w:val="000F3BF9"/>
    <w:rsid w:val="000F3E6D"/>
    <w:rsid w:val="000F55F2"/>
    <w:rsid w:val="000F5D66"/>
    <w:rsid w:val="001013B9"/>
    <w:rsid w:val="0010152B"/>
    <w:rsid w:val="001040F3"/>
    <w:rsid w:val="00105938"/>
    <w:rsid w:val="00107176"/>
    <w:rsid w:val="00107337"/>
    <w:rsid w:val="001073B8"/>
    <w:rsid w:val="00107532"/>
    <w:rsid w:val="00107F92"/>
    <w:rsid w:val="001112B5"/>
    <w:rsid w:val="001119FB"/>
    <w:rsid w:val="00111AA5"/>
    <w:rsid w:val="00113C6B"/>
    <w:rsid w:val="00114A79"/>
    <w:rsid w:val="00117113"/>
    <w:rsid w:val="00117E7E"/>
    <w:rsid w:val="00120B03"/>
    <w:rsid w:val="00120EFB"/>
    <w:rsid w:val="0012236F"/>
    <w:rsid w:val="00122754"/>
    <w:rsid w:val="00122820"/>
    <w:rsid w:val="0012290E"/>
    <w:rsid w:val="0012298A"/>
    <w:rsid w:val="00123622"/>
    <w:rsid w:val="00125C51"/>
    <w:rsid w:val="00125E66"/>
    <w:rsid w:val="00126CE4"/>
    <w:rsid w:val="0012755C"/>
    <w:rsid w:val="00131CE5"/>
    <w:rsid w:val="00132CA5"/>
    <w:rsid w:val="001334D8"/>
    <w:rsid w:val="00135444"/>
    <w:rsid w:val="00135DBD"/>
    <w:rsid w:val="0013645C"/>
    <w:rsid w:val="001402F3"/>
    <w:rsid w:val="00142F28"/>
    <w:rsid w:val="00142F90"/>
    <w:rsid w:val="00143F64"/>
    <w:rsid w:val="001473EB"/>
    <w:rsid w:val="00150BB5"/>
    <w:rsid w:val="00150D34"/>
    <w:rsid w:val="001517D4"/>
    <w:rsid w:val="0015410B"/>
    <w:rsid w:val="0015434E"/>
    <w:rsid w:val="001545EA"/>
    <w:rsid w:val="001563F6"/>
    <w:rsid w:val="001571CD"/>
    <w:rsid w:val="00157D28"/>
    <w:rsid w:val="001606A2"/>
    <w:rsid w:val="001611F7"/>
    <w:rsid w:val="001625B1"/>
    <w:rsid w:val="00164ED2"/>
    <w:rsid w:val="00166F15"/>
    <w:rsid w:val="00170665"/>
    <w:rsid w:val="00171905"/>
    <w:rsid w:val="001737D6"/>
    <w:rsid w:val="001748A0"/>
    <w:rsid w:val="00175BFD"/>
    <w:rsid w:val="00175F72"/>
    <w:rsid w:val="00177A28"/>
    <w:rsid w:val="00177A81"/>
    <w:rsid w:val="0018014D"/>
    <w:rsid w:val="001805A6"/>
    <w:rsid w:val="00180E01"/>
    <w:rsid w:val="001829C0"/>
    <w:rsid w:val="00190122"/>
    <w:rsid w:val="001902EC"/>
    <w:rsid w:val="00190F17"/>
    <w:rsid w:val="00190FE8"/>
    <w:rsid w:val="001915CE"/>
    <w:rsid w:val="001938A3"/>
    <w:rsid w:val="00195F30"/>
    <w:rsid w:val="00196097"/>
    <w:rsid w:val="00197334"/>
    <w:rsid w:val="001979A5"/>
    <w:rsid w:val="001A3AAC"/>
    <w:rsid w:val="001A4DD0"/>
    <w:rsid w:val="001A70CA"/>
    <w:rsid w:val="001A7A73"/>
    <w:rsid w:val="001B0B26"/>
    <w:rsid w:val="001B1667"/>
    <w:rsid w:val="001B16DB"/>
    <w:rsid w:val="001B1CF6"/>
    <w:rsid w:val="001B23B2"/>
    <w:rsid w:val="001B2652"/>
    <w:rsid w:val="001B2B5D"/>
    <w:rsid w:val="001B4744"/>
    <w:rsid w:val="001B6C41"/>
    <w:rsid w:val="001B7928"/>
    <w:rsid w:val="001C0804"/>
    <w:rsid w:val="001C0BE4"/>
    <w:rsid w:val="001C40FD"/>
    <w:rsid w:val="001C631D"/>
    <w:rsid w:val="001C6397"/>
    <w:rsid w:val="001C67CC"/>
    <w:rsid w:val="001C6AB0"/>
    <w:rsid w:val="001C70FA"/>
    <w:rsid w:val="001C75E4"/>
    <w:rsid w:val="001D001C"/>
    <w:rsid w:val="001D0302"/>
    <w:rsid w:val="001D085A"/>
    <w:rsid w:val="001D115C"/>
    <w:rsid w:val="001D1664"/>
    <w:rsid w:val="001D1733"/>
    <w:rsid w:val="001D232E"/>
    <w:rsid w:val="001D2C13"/>
    <w:rsid w:val="001D302D"/>
    <w:rsid w:val="001D46C5"/>
    <w:rsid w:val="001D7DE8"/>
    <w:rsid w:val="001E030F"/>
    <w:rsid w:val="001E15E2"/>
    <w:rsid w:val="001E1908"/>
    <w:rsid w:val="001E29CE"/>
    <w:rsid w:val="001E2D52"/>
    <w:rsid w:val="001E2F20"/>
    <w:rsid w:val="001E3222"/>
    <w:rsid w:val="001E4D98"/>
    <w:rsid w:val="001E5D10"/>
    <w:rsid w:val="001E69FE"/>
    <w:rsid w:val="001E6BEB"/>
    <w:rsid w:val="001E72FC"/>
    <w:rsid w:val="001E7516"/>
    <w:rsid w:val="001E7EDD"/>
    <w:rsid w:val="001F1DB9"/>
    <w:rsid w:val="001F203B"/>
    <w:rsid w:val="001F3562"/>
    <w:rsid w:val="001F5CE4"/>
    <w:rsid w:val="001F73CE"/>
    <w:rsid w:val="001F752B"/>
    <w:rsid w:val="001F7EA7"/>
    <w:rsid w:val="00200A3D"/>
    <w:rsid w:val="00200C3C"/>
    <w:rsid w:val="0020357E"/>
    <w:rsid w:val="00204B76"/>
    <w:rsid w:val="002141F2"/>
    <w:rsid w:val="002146ED"/>
    <w:rsid w:val="00214CA3"/>
    <w:rsid w:val="00216729"/>
    <w:rsid w:val="00222AE3"/>
    <w:rsid w:val="002249E7"/>
    <w:rsid w:val="00224CAF"/>
    <w:rsid w:val="00225846"/>
    <w:rsid w:val="00225B7D"/>
    <w:rsid w:val="00225F53"/>
    <w:rsid w:val="00230750"/>
    <w:rsid w:val="00232026"/>
    <w:rsid w:val="0023309C"/>
    <w:rsid w:val="002336B8"/>
    <w:rsid w:val="00236EE4"/>
    <w:rsid w:val="0023790C"/>
    <w:rsid w:val="00237EBE"/>
    <w:rsid w:val="002401F5"/>
    <w:rsid w:val="00240734"/>
    <w:rsid w:val="00241712"/>
    <w:rsid w:val="00241A97"/>
    <w:rsid w:val="00242483"/>
    <w:rsid w:val="00242B32"/>
    <w:rsid w:val="00251B41"/>
    <w:rsid w:val="002542FD"/>
    <w:rsid w:val="00255794"/>
    <w:rsid w:val="00255C8C"/>
    <w:rsid w:val="00255D52"/>
    <w:rsid w:val="00260336"/>
    <w:rsid w:val="00260852"/>
    <w:rsid w:val="00261941"/>
    <w:rsid w:val="00262577"/>
    <w:rsid w:val="00263347"/>
    <w:rsid w:val="002655DC"/>
    <w:rsid w:val="00266A2B"/>
    <w:rsid w:val="002709C1"/>
    <w:rsid w:val="002717FD"/>
    <w:rsid w:val="00271D7A"/>
    <w:rsid w:val="002722D6"/>
    <w:rsid w:val="00275E3C"/>
    <w:rsid w:val="00276BD3"/>
    <w:rsid w:val="00276E06"/>
    <w:rsid w:val="00277FBA"/>
    <w:rsid w:val="00281C08"/>
    <w:rsid w:val="0028289C"/>
    <w:rsid w:val="00282D6E"/>
    <w:rsid w:val="00283339"/>
    <w:rsid w:val="0028397F"/>
    <w:rsid w:val="0028528B"/>
    <w:rsid w:val="00285831"/>
    <w:rsid w:val="00290798"/>
    <w:rsid w:val="002914AD"/>
    <w:rsid w:val="00291F5A"/>
    <w:rsid w:val="00297386"/>
    <w:rsid w:val="002A0679"/>
    <w:rsid w:val="002A1F9C"/>
    <w:rsid w:val="002A2A2E"/>
    <w:rsid w:val="002A35AC"/>
    <w:rsid w:val="002A6CBD"/>
    <w:rsid w:val="002A79BC"/>
    <w:rsid w:val="002B3ACD"/>
    <w:rsid w:val="002B60D7"/>
    <w:rsid w:val="002B61FB"/>
    <w:rsid w:val="002C0048"/>
    <w:rsid w:val="002C13EF"/>
    <w:rsid w:val="002C17E5"/>
    <w:rsid w:val="002C1E7F"/>
    <w:rsid w:val="002C350E"/>
    <w:rsid w:val="002C3C60"/>
    <w:rsid w:val="002C3D44"/>
    <w:rsid w:val="002C3FB7"/>
    <w:rsid w:val="002C4529"/>
    <w:rsid w:val="002C586F"/>
    <w:rsid w:val="002C5967"/>
    <w:rsid w:val="002C6B5B"/>
    <w:rsid w:val="002C7C8E"/>
    <w:rsid w:val="002D2063"/>
    <w:rsid w:val="002D20B1"/>
    <w:rsid w:val="002D216D"/>
    <w:rsid w:val="002D22B6"/>
    <w:rsid w:val="002D2C5E"/>
    <w:rsid w:val="002D38F5"/>
    <w:rsid w:val="002D5074"/>
    <w:rsid w:val="002D5FD7"/>
    <w:rsid w:val="002D76D9"/>
    <w:rsid w:val="002E00FB"/>
    <w:rsid w:val="002E2D3E"/>
    <w:rsid w:val="002E3485"/>
    <w:rsid w:val="002E3E8F"/>
    <w:rsid w:val="002E4C01"/>
    <w:rsid w:val="002E55BE"/>
    <w:rsid w:val="002F09FF"/>
    <w:rsid w:val="002F1086"/>
    <w:rsid w:val="002F2441"/>
    <w:rsid w:val="002F2870"/>
    <w:rsid w:val="002F332F"/>
    <w:rsid w:val="002F33BB"/>
    <w:rsid w:val="002F422D"/>
    <w:rsid w:val="002F4283"/>
    <w:rsid w:val="002F46C6"/>
    <w:rsid w:val="002F60AB"/>
    <w:rsid w:val="002F60F0"/>
    <w:rsid w:val="002F63D6"/>
    <w:rsid w:val="002F6EA9"/>
    <w:rsid w:val="002F7375"/>
    <w:rsid w:val="003012E3"/>
    <w:rsid w:val="00302310"/>
    <w:rsid w:val="003044AB"/>
    <w:rsid w:val="00310ABE"/>
    <w:rsid w:val="003168D9"/>
    <w:rsid w:val="00316A1C"/>
    <w:rsid w:val="00316C1B"/>
    <w:rsid w:val="003171FB"/>
    <w:rsid w:val="00317384"/>
    <w:rsid w:val="00320EF6"/>
    <w:rsid w:val="003213CE"/>
    <w:rsid w:val="0032145F"/>
    <w:rsid w:val="003219B8"/>
    <w:rsid w:val="00323D6E"/>
    <w:rsid w:val="0032479A"/>
    <w:rsid w:val="003269B3"/>
    <w:rsid w:val="00331039"/>
    <w:rsid w:val="00331BCE"/>
    <w:rsid w:val="00333A97"/>
    <w:rsid w:val="00342FE5"/>
    <w:rsid w:val="0034383E"/>
    <w:rsid w:val="003438AF"/>
    <w:rsid w:val="00343CF3"/>
    <w:rsid w:val="00344710"/>
    <w:rsid w:val="003454BC"/>
    <w:rsid w:val="0034623A"/>
    <w:rsid w:val="00346950"/>
    <w:rsid w:val="00347602"/>
    <w:rsid w:val="00347D25"/>
    <w:rsid w:val="00350256"/>
    <w:rsid w:val="00352334"/>
    <w:rsid w:val="00352B4F"/>
    <w:rsid w:val="00352D94"/>
    <w:rsid w:val="0035347A"/>
    <w:rsid w:val="003559A5"/>
    <w:rsid w:val="00357762"/>
    <w:rsid w:val="00357A1F"/>
    <w:rsid w:val="00362357"/>
    <w:rsid w:val="003630AC"/>
    <w:rsid w:val="0036517E"/>
    <w:rsid w:val="00365B6D"/>
    <w:rsid w:val="00366172"/>
    <w:rsid w:val="0036769E"/>
    <w:rsid w:val="00367ADB"/>
    <w:rsid w:val="00373C75"/>
    <w:rsid w:val="003765A3"/>
    <w:rsid w:val="00376FAB"/>
    <w:rsid w:val="00376FDA"/>
    <w:rsid w:val="003775DB"/>
    <w:rsid w:val="0037763C"/>
    <w:rsid w:val="003776B4"/>
    <w:rsid w:val="00377F67"/>
    <w:rsid w:val="00380A30"/>
    <w:rsid w:val="00381C42"/>
    <w:rsid w:val="00381E9D"/>
    <w:rsid w:val="00382021"/>
    <w:rsid w:val="00384A4D"/>
    <w:rsid w:val="00384F21"/>
    <w:rsid w:val="00387213"/>
    <w:rsid w:val="00387D20"/>
    <w:rsid w:val="003910BA"/>
    <w:rsid w:val="00391CDC"/>
    <w:rsid w:val="003928D6"/>
    <w:rsid w:val="0039330B"/>
    <w:rsid w:val="00394BF6"/>
    <w:rsid w:val="003968EA"/>
    <w:rsid w:val="003979AA"/>
    <w:rsid w:val="003A108E"/>
    <w:rsid w:val="003A16FA"/>
    <w:rsid w:val="003A1BC1"/>
    <w:rsid w:val="003A30A2"/>
    <w:rsid w:val="003A363C"/>
    <w:rsid w:val="003A4EDD"/>
    <w:rsid w:val="003A6E6B"/>
    <w:rsid w:val="003A7A18"/>
    <w:rsid w:val="003A7E61"/>
    <w:rsid w:val="003B1481"/>
    <w:rsid w:val="003B319C"/>
    <w:rsid w:val="003B6FBC"/>
    <w:rsid w:val="003B7D8E"/>
    <w:rsid w:val="003C039B"/>
    <w:rsid w:val="003C22F8"/>
    <w:rsid w:val="003C2A42"/>
    <w:rsid w:val="003C44F0"/>
    <w:rsid w:val="003C6ABB"/>
    <w:rsid w:val="003C7F9A"/>
    <w:rsid w:val="003D175F"/>
    <w:rsid w:val="003D3C99"/>
    <w:rsid w:val="003D43C4"/>
    <w:rsid w:val="003D6177"/>
    <w:rsid w:val="003E49C0"/>
    <w:rsid w:val="003E5997"/>
    <w:rsid w:val="003E6F3F"/>
    <w:rsid w:val="003E78ED"/>
    <w:rsid w:val="003F2694"/>
    <w:rsid w:val="003F3BD2"/>
    <w:rsid w:val="003F3C46"/>
    <w:rsid w:val="003F4D88"/>
    <w:rsid w:val="003F5BA3"/>
    <w:rsid w:val="003F74C2"/>
    <w:rsid w:val="003F7839"/>
    <w:rsid w:val="00402052"/>
    <w:rsid w:val="00405994"/>
    <w:rsid w:val="004067F5"/>
    <w:rsid w:val="004069ED"/>
    <w:rsid w:val="004072B6"/>
    <w:rsid w:val="00407B11"/>
    <w:rsid w:val="00410409"/>
    <w:rsid w:val="00410D5F"/>
    <w:rsid w:val="00411B39"/>
    <w:rsid w:val="00411FB9"/>
    <w:rsid w:val="004130BD"/>
    <w:rsid w:val="00414256"/>
    <w:rsid w:val="00414E69"/>
    <w:rsid w:val="004153D4"/>
    <w:rsid w:val="00415984"/>
    <w:rsid w:val="004203B0"/>
    <w:rsid w:val="00420F30"/>
    <w:rsid w:val="004215F3"/>
    <w:rsid w:val="00422037"/>
    <w:rsid w:val="0042277E"/>
    <w:rsid w:val="00422CFA"/>
    <w:rsid w:val="004231E5"/>
    <w:rsid w:val="0042371A"/>
    <w:rsid w:val="00424D9A"/>
    <w:rsid w:val="00425970"/>
    <w:rsid w:val="00426F57"/>
    <w:rsid w:val="00430447"/>
    <w:rsid w:val="00430528"/>
    <w:rsid w:val="004314AA"/>
    <w:rsid w:val="004315C0"/>
    <w:rsid w:val="00432679"/>
    <w:rsid w:val="0043288E"/>
    <w:rsid w:val="00433840"/>
    <w:rsid w:val="00434010"/>
    <w:rsid w:val="0043456A"/>
    <w:rsid w:val="00434F96"/>
    <w:rsid w:val="004352BD"/>
    <w:rsid w:val="00435819"/>
    <w:rsid w:val="0043661B"/>
    <w:rsid w:val="00436CAB"/>
    <w:rsid w:val="00440BF0"/>
    <w:rsid w:val="00441C91"/>
    <w:rsid w:val="00444DFA"/>
    <w:rsid w:val="00445C73"/>
    <w:rsid w:val="004474CC"/>
    <w:rsid w:val="00447C6A"/>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C97"/>
    <w:rsid w:val="00466EA6"/>
    <w:rsid w:val="00472034"/>
    <w:rsid w:val="004735DF"/>
    <w:rsid w:val="0047428E"/>
    <w:rsid w:val="0047457E"/>
    <w:rsid w:val="004753DB"/>
    <w:rsid w:val="00475423"/>
    <w:rsid w:val="004805DC"/>
    <w:rsid w:val="00481550"/>
    <w:rsid w:val="00482197"/>
    <w:rsid w:val="004826F7"/>
    <w:rsid w:val="00482F12"/>
    <w:rsid w:val="004835AB"/>
    <w:rsid w:val="00486088"/>
    <w:rsid w:val="00486E81"/>
    <w:rsid w:val="00487029"/>
    <w:rsid w:val="004927BE"/>
    <w:rsid w:val="00494721"/>
    <w:rsid w:val="0049526A"/>
    <w:rsid w:val="00495560"/>
    <w:rsid w:val="00496A2B"/>
    <w:rsid w:val="0049748F"/>
    <w:rsid w:val="004A0637"/>
    <w:rsid w:val="004A064E"/>
    <w:rsid w:val="004A088C"/>
    <w:rsid w:val="004A1AE7"/>
    <w:rsid w:val="004A2698"/>
    <w:rsid w:val="004A3692"/>
    <w:rsid w:val="004A60DD"/>
    <w:rsid w:val="004B0C53"/>
    <w:rsid w:val="004B0CEC"/>
    <w:rsid w:val="004B17E1"/>
    <w:rsid w:val="004B2DB2"/>
    <w:rsid w:val="004B6578"/>
    <w:rsid w:val="004C0020"/>
    <w:rsid w:val="004C130A"/>
    <w:rsid w:val="004C18F5"/>
    <w:rsid w:val="004C1F34"/>
    <w:rsid w:val="004C4077"/>
    <w:rsid w:val="004C416E"/>
    <w:rsid w:val="004C4CBA"/>
    <w:rsid w:val="004C5E32"/>
    <w:rsid w:val="004C689D"/>
    <w:rsid w:val="004C7968"/>
    <w:rsid w:val="004D0122"/>
    <w:rsid w:val="004D198C"/>
    <w:rsid w:val="004D4C5E"/>
    <w:rsid w:val="004D617A"/>
    <w:rsid w:val="004D7784"/>
    <w:rsid w:val="004E041C"/>
    <w:rsid w:val="004E04BA"/>
    <w:rsid w:val="004E052F"/>
    <w:rsid w:val="004E140E"/>
    <w:rsid w:val="004E1721"/>
    <w:rsid w:val="004E53B0"/>
    <w:rsid w:val="004E5633"/>
    <w:rsid w:val="004E60DC"/>
    <w:rsid w:val="004E72C7"/>
    <w:rsid w:val="004F26D2"/>
    <w:rsid w:val="004F2A3D"/>
    <w:rsid w:val="004F54DE"/>
    <w:rsid w:val="004F5542"/>
    <w:rsid w:val="004F6182"/>
    <w:rsid w:val="004F62B5"/>
    <w:rsid w:val="004F64EF"/>
    <w:rsid w:val="005013CA"/>
    <w:rsid w:val="00502B0B"/>
    <w:rsid w:val="0050309E"/>
    <w:rsid w:val="00504084"/>
    <w:rsid w:val="00505314"/>
    <w:rsid w:val="005058D1"/>
    <w:rsid w:val="00505E5B"/>
    <w:rsid w:val="00506244"/>
    <w:rsid w:val="005068A0"/>
    <w:rsid w:val="00507C82"/>
    <w:rsid w:val="00510BCA"/>
    <w:rsid w:val="00511DC0"/>
    <w:rsid w:val="00515978"/>
    <w:rsid w:val="00516278"/>
    <w:rsid w:val="0051632E"/>
    <w:rsid w:val="00516799"/>
    <w:rsid w:val="00520D98"/>
    <w:rsid w:val="0052251B"/>
    <w:rsid w:val="00522EFA"/>
    <w:rsid w:val="00523013"/>
    <w:rsid w:val="0052541B"/>
    <w:rsid w:val="00525796"/>
    <w:rsid w:val="005263F0"/>
    <w:rsid w:val="00526FCD"/>
    <w:rsid w:val="00527204"/>
    <w:rsid w:val="005275C5"/>
    <w:rsid w:val="0052796F"/>
    <w:rsid w:val="00531CAB"/>
    <w:rsid w:val="00533876"/>
    <w:rsid w:val="00534EB8"/>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44D2"/>
    <w:rsid w:val="0055589E"/>
    <w:rsid w:val="00560AA0"/>
    <w:rsid w:val="00560D11"/>
    <w:rsid w:val="00560D49"/>
    <w:rsid w:val="00561117"/>
    <w:rsid w:val="005629F9"/>
    <w:rsid w:val="00562FB0"/>
    <w:rsid w:val="00564254"/>
    <w:rsid w:val="0056696B"/>
    <w:rsid w:val="005669D3"/>
    <w:rsid w:val="00570714"/>
    <w:rsid w:val="005717D7"/>
    <w:rsid w:val="00571BF9"/>
    <w:rsid w:val="0057252B"/>
    <w:rsid w:val="005740F2"/>
    <w:rsid w:val="00574791"/>
    <w:rsid w:val="00575952"/>
    <w:rsid w:val="00576E90"/>
    <w:rsid w:val="00577230"/>
    <w:rsid w:val="00577DFD"/>
    <w:rsid w:val="00581600"/>
    <w:rsid w:val="0058248B"/>
    <w:rsid w:val="00583D75"/>
    <w:rsid w:val="0058405E"/>
    <w:rsid w:val="00584886"/>
    <w:rsid w:val="0058656F"/>
    <w:rsid w:val="0059221F"/>
    <w:rsid w:val="00592A21"/>
    <w:rsid w:val="00596975"/>
    <w:rsid w:val="00596BD1"/>
    <w:rsid w:val="0059799E"/>
    <w:rsid w:val="00597C01"/>
    <w:rsid w:val="005A0E14"/>
    <w:rsid w:val="005A1751"/>
    <w:rsid w:val="005A1B98"/>
    <w:rsid w:val="005A29E8"/>
    <w:rsid w:val="005A50C3"/>
    <w:rsid w:val="005A5863"/>
    <w:rsid w:val="005A5FE9"/>
    <w:rsid w:val="005A6550"/>
    <w:rsid w:val="005A6D62"/>
    <w:rsid w:val="005A78E8"/>
    <w:rsid w:val="005B00CF"/>
    <w:rsid w:val="005B18DE"/>
    <w:rsid w:val="005B4A77"/>
    <w:rsid w:val="005B4DD4"/>
    <w:rsid w:val="005B4F7D"/>
    <w:rsid w:val="005B6D7D"/>
    <w:rsid w:val="005C069D"/>
    <w:rsid w:val="005C1A32"/>
    <w:rsid w:val="005C1C28"/>
    <w:rsid w:val="005C263D"/>
    <w:rsid w:val="005C3945"/>
    <w:rsid w:val="005C505C"/>
    <w:rsid w:val="005C79FC"/>
    <w:rsid w:val="005D1D68"/>
    <w:rsid w:val="005D3A48"/>
    <w:rsid w:val="005D3E53"/>
    <w:rsid w:val="005D47BC"/>
    <w:rsid w:val="005D70A6"/>
    <w:rsid w:val="005E4161"/>
    <w:rsid w:val="005E52F7"/>
    <w:rsid w:val="005E6842"/>
    <w:rsid w:val="005E68EB"/>
    <w:rsid w:val="005F1A8A"/>
    <w:rsid w:val="005F23A3"/>
    <w:rsid w:val="005F23FF"/>
    <w:rsid w:val="005F315A"/>
    <w:rsid w:val="005F5A03"/>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630F"/>
    <w:rsid w:val="006372C4"/>
    <w:rsid w:val="006429C6"/>
    <w:rsid w:val="00642AC8"/>
    <w:rsid w:val="00645210"/>
    <w:rsid w:val="00645E46"/>
    <w:rsid w:val="006509D7"/>
    <w:rsid w:val="00651AD6"/>
    <w:rsid w:val="006522DF"/>
    <w:rsid w:val="00652BD9"/>
    <w:rsid w:val="00652D3B"/>
    <w:rsid w:val="00655B75"/>
    <w:rsid w:val="006564F3"/>
    <w:rsid w:val="00656770"/>
    <w:rsid w:val="006574B9"/>
    <w:rsid w:val="00661249"/>
    <w:rsid w:val="00661DCF"/>
    <w:rsid w:val="0066275A"/>
    <w:rsid w:val="00662BB0"/>
    <w:rsid w:val="0066307A"/>
    <w:rsid w:val="0066364C"/>
    <w:rsid w:val="006644F6"/>
    <w:rsid w:val="006646C2"/>
    <w:rsid w:val="006656D0"/>
    <w:rsid w:val="00666AD3"/>
    <w:rsid w:val="00667FE5"/>
    <w:rsid w:val="00670740"/>
    <w:rsid w:val="00672A02"/>
    <w:rsid w:val="006800A8"/>
    <w:rsid w:val="006802B5"/>
    <w:rsid w:val="00681F52"/>
    <w:rsid w:val="00683AC0"/>
    <w:rsid w:val="00685ED1"/>
    <w:rsid w:val="00685F7E"/>
    <w:rsid w:val="00691D4D"/>
    <w:rsid w:val="00692009"/>
    <w:rsid w:val="006924EB"/>
    <w:rsid w:val="00694CD2"/>
    <w:rsid w:val="006957F9"/>
    <w:rsid w:val="00697175"/>
    <w:rsid w:val="00697F20"/>
    <w:rsid w:val="006A3490"/>
    <w:rsid w:val="006A3E6D"/>
    <w:rsid w:val="006A744F"/>
    <w:rsid w:val="006B0647"/>
    <w:rsid w:val="006B0658"/>
    <w:rsid w:val="006B1530"/>
    <w:rsid w:val="006B1EDA"/>
    <w:rsid w:val="006B29D4"/>
    <w:rsid w:val="006B31CA"/>
    <w:rsid w:val="006B3950"/>
    <w:rsid w:val="006B663F"/>
    <w:rsid w:val="006B666F"/>
    <w:rsid w:val="006B7872"/>
    <w:rsid w:val="006C16BC"/>
    <w:rsid w:val="006C2BA2"/>
    <w:rsid w:val="006C4631"/>
    <w:rsid w:val="006C53AB"/>
    <w:rsid w:val="006C555F"/>
    <w:rsid w:val="006C5758"/>
    <w:rsid w:val="006C5D31"/>
    <w:rsid w:val="006C7A24"/>
    <w:rsid w:val="006D050C"/>
    <w:rsid w:val="006D09AB"/>
    <w:rsid w:val="006D0CB0"/>
    <w:rsid w:val="006D10F6"/>
    <w:rsid w:val="006D1915"/>
    <w:rsid w:val="006D2B49"/>
    <w:rsid w:val="006D7EC6"/>
    <w:rsid w:val="006E1A4E"/>
    <w:rsid w:val="006E208B"/>
    <w:rsid w:val="006E26E7"/>
    <w:rsid w:val="006E3C1D"/>
    <w:rsid w:val="006E59D5"/>
    <w:rsid w:val="006E5BB6"/>
    <w:rsid w:val="006E6FD6"/>
    <w:rsid w:val="006E7C67"/>
    <w:rsid w:val="006F13CB"/>
    <w:rsid w:val="006F1BDC"/>
    <w:rsid w:val="006F2397"/>
    <w:rsid w:val="006F4FC4"/>
    <w:rsid w:val="006F52F0"/>
    <w:rsid w:val="006F5B8D"/>
    <w:rsid w:val="006F5C4A"/>
    <w:rsid w:val="006F7BC4"/>
    <w:rsid w:val="00700D74"/>
    <w:rsid w:val="007018D4"/>
    <w:rsid w:val="00701DA0"/>
    <w:rsid w:val="007038EF"/>
    <w:rsid w:val="00704A84"/>
    <w:rsid w:val="0070533C"/>
    <w:rsid w:val="00705A27"/>
    <w:rsid w:val="007064EA"/>
    <w:rsid w:val="00707993"/>
    <w:rsid w:val="00711986"/>
    <w:rsid w:val="00713633"/>
    <w:rsid w:val="00716AF6"/>
    <w:rsid w:val="00716C06"/>
    <w:rsid w:val="00716D56"/>
    <w:rsid w:val="00716FAC"/>
    <w:rsid w:val="00717380"/>
    <w:rsid w:val="00721008"/>
    <w:rsid w:val="00721C8D"/>
    <w:rsid w:val="007221F7"/>
    <w:rsid w:val="007224F5"/>
    <w:rsid w:val="00723BBC"/>
    <w:rsid w:val="0072401F"/>
    <w:rsid w:val="0072519D"/>
    <w:rsid w:val="0072637B"/>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71BC9"/>
    <w:rsid w:val="00775869"/>
    <w:rsid w:val="00776169"/>
    <w:rsid w:val="00776747"/>
    <w:rsid w:val="00776D81"/>
    <w:rsid w:val="00776EB4"/>
    <w:rsid w:val="00777481"/>
    <w:rsid w:val="00780029"/>
    <w:rsid w:val="007815F9"/>
    <w:rsid w:val="00786ABB"/>
    <w:rsid w:val="00790ADA"/>
    <w:rsid w:val="00790BEB"/>
    <w:rsid w:val="00791374"/>
    <w:rsid w:val="007921CB"/>
    <w:rsid w:val="00792C42"/>
    <w:rsid w:val="007940CB"/>
    <w:rsid w:val="00795CF3"/>
    <w:rsid w:val="0079746F"/>
    <w:rsid w:val="007978F4"/>
    <w:rsid w:val="007A0975"/>
    <w:rsid w:val="007A271A"/>
    <w:rsid w:val="007A2EB6"/>
    <w:rsid w:val="007A30AC"/>
    <w:rsid w:val="007A3799"/>
    <w:rsid w:val="007A495A"/>
    <w:rsid w:val="007A4EEA"/>
    <w:rsid w:val="007A54C1"/>
    <w:rsid w:val="007A64C0"/>
    <w:rsid w:val="007A7031"/>
    <w:rsid w:val="007B0DAC"/>
    <w:rsid w:val="007B17F8"/>
    <w:rsid w:val="007B28BD"/>
    <w:rsid w:val="007B5E23"/>
    <w:rsid w:val="007C007E"/>
    <w:rsid w:val="007C0262"/>
    <w:rsid w:val="007C0E59"/>
    <w:rsid w:val="007C16C9"/>
    <w:rsid w:val="007C33F4"/>
    <w:rsid w:val="007C47AC"/>
    <w:rsid w:val="007C539D"/>
    <w:rsid w:val="007C5A7D"/>
    <w:rsid w:val="007C68DA"/>
    <w:rsid w:val="007D141A"/>
    <w:rsid w:val="007D283A"/>
    <w:rsid w:val="007D33EE"/>
    <w:rsid w:val="007D3994"/>
    <w:rsid w:val="007D440D"/>
    <w:rsid w:val="007D5AE9"/>
    <w:rsid w:val="007D610F"/>
    <w:rsid w:val="007D7CA0"/>
    <w:rsid w:val="007E0053"/>
    <w:rsid w:val="007E03C5"/>
    <w:rsid w:val="007E0F84"/>
    <w:rsid w:val="007E2E2E"/>
    <w:rsid w:val="007E51AE"/>
    <w:rsid w:val="007E5926"/>
    <w:rsid w:val="007E6917"/>
    <w:rsid w:val="007E7BC8"/>
    <w:rsid w:val="007E7C18"/>
    <w:rsid w:val="007F030C"/>
    <w:rsid w:val="007F1048"/>
    <w:rsid w:val="007F23DF"/>
    <w:rsid w:val="007F35E8"/>
    <w:rsid w:val="007F366B"/>
    <w:rsid w:val="007F3DBB"/>
    <w:rsid w:val="007F3F99"/>
    <w:rsid w:val="007F3FBD"/>
    <w:rsid w:val="007F43AE"/>
    <w:rsid w:val="007F4C75"/>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63D2"/>
    <w:rsid w:val="008164D9"/>
    <w:rsid w:val="008166A3"/>
    <w:rsid w:val="00816E8C"/>
    <w:rsid w:val="00820609"/>
    <w:rsid w:val="008206EF"/>
    <w:rsid w:val="00821093"/>
    <w:rsid w:val="008217BE"/>
    <w:rsid w:val="00821975"/>
    <w:rsid w:val="00822CA0"/>
    <w:rsid w:val="0082384F"/>
    <w:rsid w:val="008238DF"/>
    <w:rsid w:val="00825511"/>
    <w:rsid w:val="0082560B"/>
    <w:rsid w:val="00830875"/>
    <w:rsid w:val="00837F34"/>
    <w:rsid w:val="00840781"/>
    <w:rsid w:val="00840D64"/>
    <w:rsid w:val="008434B7"/>
    <w:rsid w:val="008449EC"/>
    <w:rsid w:val="00844FFD"/>
    <w:rsid w:val="00845B4A"/>
    <w:rsid w:val="00846B8E"/>
    <w:rsid w:val="008510DC"/>
    <w:rsid w:val="00851295"/>
    <w:rsid w:val="008513B3"/>
    <w:rsid w:val="00851460"/>
    <w:rsid w:val="008518C5"/>
    <w:rsid w:val="008523D7"/>
    <w:rsid w:val="00853C6F"/>
    <w:rsid w:val="0085488C"/>
    <w:rsid w:val="00855B88"/>
    <w:rsid w:val="0085628F"/>
    <w:rsid w:val="008567F5"/>
    <w:rsid w:val="00857FAD"/>
    <w:rsid w:val="00861334"/>
    <w:rsid w:val="008634C6"/>
    <w:rsid w:val="00865134"/>
    <w:rsid w:val="00865296"/>
    <w:rsid w:val="00865580"/>
    <w:rsid w:val="008669D3"/>
    <w:rsid w:val="0086752A"/>
    <w:rsid w:val="008725D6"/>
    <w:rsid w:val="008726CE"/>
    <w:rsid w:val="00872857"/>
    <w:rsid w:val="0087347C"/>
    <w:rsid w:val="00876258"/>
    <w:rsid w:val="00876F97"/>
    <w:rsid w:val="008810A0"/>
    <w:rsid w:val="008810CC"/>
    <w:rsid w:val="0088184A"/>
    <w:rsid w:val="008821BA"/>
    <w:rsid w:val="00882299"/>
    <w:rsid w:val="00884271"/>
    <w:rsid w:val="008859D3"/>
    <w:rsid w:val="00892950"/>
    <w:rsid w:val="00895576"/>
    <w:rsid w:val="008960D5"/>
    <w:rsid w:val="00896C2F"/>
    <w:rsid w:val="008A1518"/>
    <w:rsid w:val="008A1E19"/>
    <w:rsid w:val="008A2E60"/>
    <w:rsid w:val="008A42F4"/>
    <w:rsid w:val="008A6F81"/>
    <w:rsid w:val="008A7732"/>
    <w:rsid w:val="008A7EB7"/>
    <w:rsid w:val="008B0B10"/>
    <w:rsid w:val="008B0F36"/>
    <w:rsid w:val="008B25C9"/>
    <w:rsid w:val="008B41FF"/>
    <w:rsid w:val="008B62A8"/>
    <w:rsid w:val="008B6921"/>
    <w:rsid w:val="008B6E41"/>
    <w:rsid w:val="008B6E98"/>
    <w:rsid w:val="008C0BAD"/>
    <w:rsid w:val="008C10D6"/>
    <w:rsid w:val="008C1325"/>
    <w:rsid w:val="008C34FE"/>
    <w:rsid w:val="008C3692"/>
    <w:rsid w:val="008C3F9B"/>
    <w:rsid w:val="008C678C"/>
    <w:rsid w:val="008D0D2F"/>
    <w:rsid w:val="008D2BA8"/>
    <w:rsid w:val="008D4E7E"/>
    <w:rsid w:val="008D4FE7"/>
    <w:rsid w:val="008D674C"/>
    <w:rsid w:val="008D693B"/>
    <w:rsid w:val="008D7182"/>
    <w:rsid w:val="008E146C"/>
    <w:rsid w:val="008E23BF"/>
    <w:rsid w:val="008E43DB"/>
    <w:rsid w:val="008E4510"/>
    <w:rsid w:val="008E4645"/>
    <w:rsid w:val="008E5DF4"/>
    <w:rsid w:val="008E6EB5"/>
    <w:rsid w:val="008E6F93"/>
    <w:rsid w:val="008E72AA"/>
    <w:rsid w:val="008E7C44"/>
    <w:rsid w:val="008F0119"/>
    <w:rsid w:val="008F1871"/>
    <w:rsid w:val="008F1D07"/>
    <w:rsid w:val="00900E4A"/>
    <w:rsid w:val="00901B0D"/>
    <w:rsid w:val="00901B4D"/>
    <w:rsid w:val="00903A20"/>
    <w:rsid w:val="009046E4"/>
    <w:rsid w:val="009059DB"/>
    <w:rsid w:val="00906155"/>
    <w:rsid w:val="009068F8"/>
    <w:rsid w:val="00910849"/>
    <w:rsid w:val="00914309"/>
    <w:rsid w:val="009143ED"/>
    <w:rsid w:val="009159E3"/>
    <w:rsid w:val="00915F5A"/>
    <w:rsid w:val="00917052"/>
    <w:rsid w:val="0091723E"/>
    <w:rsid w:val="009202D0"/>
    <w:rsid w:val="00921568"/>
    <w:rsid w:val="00921851"/>
    <w:rsid w:val="009221AF"/>
    <w:rsid w:val="00923B80"/>
    <w:rsid w:val="00924A6E"/>
    <w:rsid w:val="00924AF7"/>
    <w:rsid w:val="0092549D"/>
    <w:rsid w:val="00926495"/>
    <w:rsid w:val="00926A52"/>
    <w:rsid w:val="0092799F"/>
    <w:rsid w:val="009305D4"/>
    <w:rsid w:val="00934117"/>
    <w:rsid w:val="00935611"/>
    <w:rsid w:val="009375EB"/>
    <w:rsid w:val="009410EE"/>
    <w:rsid w:val="00941DBF"/>
    <w:rsid w:val="00944AD0"/>
    <w:rsid w:val="00945722"/>
    <w:rsid w:val="00945900"/>
    <w:rsid w:val="00946A70"/>
    <w:rsid w:val="00947AA4"/>
    <w:rsid w:val="009508DE"/>
    <w:rsid w:val="00951CB9"/>
    <w:rsid w:val="00952C5F"/>
    <w:rsid w:val="0095331B"/>
    <w:rsid w:val="00953912"/>
    <w:rsid w:val="00954740"/>
    <w:rsid w:val="00957918"/>
    <w:rsid w:val="00960857"/>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1008"/>
    <w:rsid w:val="0098120D"/>
    <w:rsid w:val="0098130C"/>
    <w:rsid w:val="009822BB"/>
    <w:rsid w:val="0098276C"/>
    <w:rsid w:val="00982F06"/>
    <w:rsid w:val="0098305C"/>
    <w:rsid w:val="00984C9E"/>
    <w:rsid w:val="009875AC"/>
    <w:rsid w:val="00987742"/>
    <w:rsid w:val="00991799"/>
    <w:rsid w:val="009921A1"/>
    <w:rsid w:val="009936A5"/>
    <w:rsid w:val="00993B8F"/>
    <w:rsid w:val="00994994"/>
    <w:rsid w:val="009950ED"/>
    <w:rsid w:val="0099523F"/>
    <w:rsid w:val="009A05EA"/>
    <w:rsid w:val="009A067E"/>
    <w:rsid w:val="009A08BB"/>
    <w:rsid w:val="009A433E"/>
    <w:rsid w:val="009A48C2"/>
    <w:rsid w:val="009A559C"/>
    <w:rsid w:val="009B00B9"/>
    <w:rsid w:val="009B0D31"/>
    <w:rsid w:val="009B12A6"/>
    <w:rsid w:val="009B2BC1"/>
    <w:rsid w:val="009B6DEE"/>
    <w:rsid w:val="009C12C5"/>
    <w:rsid w:val="009C2943"/>
    <w:rsid w:val="009C55BA"/>
    <w:rsid w:val="009C67AE"/>
    <w:rsid w:val="009C6E30"/>
    <w:rsid w:val="009C7D2B"/>
    <w:rsid w:val="009D0F63"/>
    <w:rsid w:val="009D132E"/>
    <w:rsid w:val="009D5373"/>
    <w:rsid w:val="009D54C7"/>
    <w:rsid w:val="009D5CDC"/>
    <w:rsid w:val="009D63EA"/>
    <w:rsid w:val="009E0418"/>
    <w:rsid w:val="009E0790"/>
    <w:rsid w:val="009E4990"/>
    <w:rsid w:val="009E65AE"/>
    <w:rsid w:val="009F02ED"/>
    <w:rsid w:val="009F0913"/>
    <w:rsid w:val="009F1078"/>
    <w:rsid w:val="009F12E3"/>
    <w:rsid w:val="009F1AA7"/>
    <w:rsid w:val="009F27E9"/>
    <w:rsid w:val="009F2B58"/>
    <w:rsid w:val="009F2EEF"/>
    <w:rsid w:val="009F45B2"/>
    <w:rsid w:val="009F4E20"/>
    <w:rsid w:val="009F6160"/>
    <w:rsid w:val="00A0199B"/>
    <w:rsid w:val="00A01E0D"/>
    <w:rsid w:val="00A02E7E"/>
    <w:rsid w:val="00A03B16"/>
    <w:rsid w:val="00A044EC"/>
    <w:rsid w:val="00A04CDE"/>
    <w:rsid w:val="00A06C44"/>
    <w:rsid w:val="00A06ECF"/>
    <w:rsid w:val="00A1151E"/>
    <w:rsid w:val="00A12478"/>
    <w:rsid w:val="00A13A9E"/>
    <w:rsid w:val="00A1411D"/>
    <w:rsid w:val="00A14167"/>
    <w:rsid w:val="00A14328"/>
    <w:rsid w:val="00A159ED"/>
    <w:rsid w:val="00A1614E"/>
    <w:rsid w:val="00A167FC"/>
    <w:rsid w:val="00A210EE"/>
    <w:rsid w:val="00A217AB"/>
    <w:rsid w:val="00A22102"/>
    <w:rsid w:val="00A23526"/>
    <w:rsid w:val="00A23DDA"/>
    <w:rsid w:val="00A24540"/>
    <w:rsid w:val="00A24A15"/>
    <w:rsid w:val="00A27181"/>
    <w:rsid w:val="00A317C9"/>
    <w:rsid w:val="00A3284D"/>
    <w:rsid w:val="00A3405F"/>
    <w:rsid w:val="00A353B0"/>
    <w:rsid w:val="00A361B3"/>
    <w:rsid w:val="00A375BB"/>
    <w:rsid w:val="00A37C32"/>
    <w:rsid w:val="00A400EF"/>
    <w:rsid w:val="00A40F5C"/>
    <w:rsid w:val="00A432BA"/>
    <w:rsid w:val="00A433B8"/>
    <w:rsid w:val="00A4567C"/>
    <w:rsid w:val="00A512A0"/>
    <w:rsid w:val="00A517D0"/>
    <w:rsid w:val="00A51F10"/>
    <w:rsid w:val="00A533EF"/>
    <w:rsid w:val="00A5636E"/>
    <w:rsid w:val="00A563F4"/>
    <w:rsid w:val="00A57E5A"/>
    <w:rsid w:val="00A6158E"/>
    <w:rsid w:val="00A62D63"/>
    <w:rsid w:val="00A63430"/>
    <w:rsid w:val="00A648B5"/>
    <w:rsid w:val="00A648BE"/>
    <w:rsid w:val="00A66491"/>
    <w:rsid w:val="00A66B15"/>
    <w:rsid w:val="00A67FAA"/>
    <w:rsid w:val="00A70504"/>
    <w:rsid w:val="00A7151D"/>
    <w:rsid w:val="00A71C45"/>
    <w:rsid w:val="00A726BE"/>
    <w:rsid w:val="00A7297A"/>
    <w:rsid w:val="00A7408E"/>
    <w:rsid w:val="00A75A46"/>
    <w:rsid w:val="00A75F47"/>
    <w:rsid w:val="00A760E3"/>
    <w:rsid w:val="00A76905"/>
    <w:rsid w:val="00A800F8"/>
    <w:rsid w:val="00A804B7"/>
    <w:rsid w:val="00A82146"/>
    <w:rsid w:val="00A824D2"/>
    <w:rsid w:val="00A851DA"/>
    <w:rsid w:val="00A861AA"/>
    <w:rsid w:val="00A87E4E"/>
    <w:rsid w:val="00A91E7E"/>
    <w:rsid w:val="00A923C1"/>
    <w:rsid w:val="00A925D1"/>
    <w:rsid w:val="00A940B7"/>
    <w:rsid w:val="00A957E4"/>
    <w:rsid w:val="00A95A4E"/>
    <w:rsid w:val="00A95BBD"/>
    <w:rsid w:val="00A96047"/>
    <w:rsid w:val="00A96A32"/>
    <w:rsid w:val="00A97B9D"/>
    <w:rsid w:val="00AA0E67"/>
    <w:rsid w:val="00AA17AC"/>
    <w:rsid w:val="00AA1884"/>
    <w:rsid w:val="00AA2D26"/>
    <w:rsid w:val="00AA78EB"/>
    <w:rsid w:val="00AB355A"/>
    <w:rsid w:val="00AB7A76"/>
    <w:rsid w:val="00AB7C20"/>
    <w:rsid w:val="00AC25B9"/>
    <w:rsid w:val="00AC337D"/>
    <w:rsid w:val="00AC408D"/>
    <w:rsid w:val="00AC4128"/>
    <w:rsid w:val="00AC4733"/>
    <w:rsid w:val="00AD0385"/>
    <w:rsid w:val="00AD09A4"/>
    <w:rsid w:val="00AD22A7"/>
    <w:rsid w:val="00AD24CB"/>
    <w:rsid w:val="00AD316C"/>
    <w:rsid w:val="00AD3E18"/>
    <w:rsid w:val="00AD494C"/>
    <w:rsid w:val="00AD4CB7"/>
    <w:rsid w:val="00AD501C"/>
    <w:rsid w:val="00AD5526"/>
    <w:rsid w:val="00AD57E4"/>
    <w:rsid w:val="00AD5960"/>
    <w:rsid w:val="00AD5BA8"/>
    <w:rsid w:val="00AD61C5"/>
    <w:rsid w:val="00AE04CB"/>
    <w:rsid w:val="00AE0CF9"/>
    <w:rsid w:val="00AE1B78"/>
    <w:rsid w:val="00AE316C"/>
    <w:rsid w:val="00AE41C8"/>
    <w:rsid w:val="00AE4FD7"/>
    <w:rsid w:val="00AE519A"/>
    <w:rsid w:val="00AE5B37"/>
    <w:rsid w:val="00AE6CFD"/>
    <w:rsid w:val="00AF1E83"/>
    <w:rsid w:val="00AF20DA"/>
    <w:rsid w:val="00AF3510"/>
    <w:rsid w:val="00AF4DC3"/>
    <w:rsid w:val="00AF7770"/>
    <w:rsid w:val="00B00C86"/>
    <w:rsid w:val="00B02C84"/>
    <w:rsid w:val="00B03465"/>
    <w:rsid w:val="00B0553F"/>
    <w:rsid w:val="00B06139"/>
    <w:rsid w:val="00B1169C"/>
    <w:rsid w:val="00B12170"/>
    <w:rsid w:val="00B122FA"/>
    <w:rsid w:val="00B14DB8"/>
    <w:rsid w:val="00B15A9C"/>
    <w:rsid w:val="00B17AE3"/>
    <w:rsid w:val="00B24420"/>
    <w:rsid w:val="00B2586B"/>
    <w:rsid w:val="00B25955"/>
    <w:rsid w:val="00B261C1"/>
    <w:rsid w:val="00B278FC"/>
    <w:rsid w:val="00B27EE0"/>
    <w:rsid w:val="00B30727"/>
    <w:rsid w:val="00B317FF"/>
    <w:rsid w:val="00B345A1"/>
    <w:rsid w:val="00B4012E"/>
    <w:rsid w:val="00B432A7"/>
    <w:rsid w:val="00B45003"/>
    <w:rsid w:val="00B5110F"/>
    <w:rsid w:val="00B51548"/>
    <w:rsid w:val="00B51606"/>
    <w:rsid w:val="00B51EA1"/>
    <w:rsid w:val="00B52EF3"/>
    <w:rsid w:val="00B548A4"/>
    <w:rsid w:val="00B54F4B"/>
    <w:rsid w:val="00B55C1F"/>
    <w:rsid w:val="00B56490"/>
    <w:rsid w:val="00B5652A"/>
    <w:rsid w:val="00B5681B"/>
    <w:rsid w:val="00B57A29"/>
    <w:rsid w:val="00B613C4"/>
    <w:rsid w:val="00B62983"/>
    <w:rsid w:val="00B62BAD"/>
    <w:rsid w:val="00B643F3"/>
    <w:rsid w:val="00B67AED"/>
    <w:rsid w:val="00B70890"/>
    <w:rsid w:val="00B714D5"/>
    <w:rsid w:val="00B71F47"/>
    <w:rsid w:val="00B72164"/>
    <w:rsid w:val="00B72773"/>
    <w:rsid w:val="00B754C0"/>
    <w:rsid w:val="00B759A8"/>
    <w:rsid w:val="00B77DE8"/>
    <w:rsid w:val="00B77F7A"/>
    <w:rsid w:val="00B80396"/>
    <w:rsid w:val="00B81359"/>
    <w:rsid w:val="00B8389E"/>
    <w:rsid w:val="00B841A9"/>
    <w:rsid w:val="00B86405"/>
    <w:rsid w:val="00B86A2C"/>
    <w:rsid w:val="00B90A29"/>
    <w:rsid w:val="00B93CEB"/>
    <w:rsid w:val="00B945B1"/>
    <w:rsid w:val="00B950E7"/>
    <w:rsid w:val="00B95BAD"/>
    <w:rsid w:val="00BA0E42"/>
    <w:rsid w:val="00BA100B"/>
    <w:rsid w:val="00BA13E6"/>
    <w:rsid w:val="00BA1AB1"/>
    <w:rsid w:val="00BA3F40"/>
    <w:rsid w:val="00BA4890"/>
    <w:rsid w:val="00BA5E01"/>
    <w:rsid w:val="00BA5E5A"/>
    <w:rsid w:val="00BA6A35"/>
    <w:rsid w:val="00BB029B"/>
    <w:rsid w:val="00BB0A5B"/>
    <w:rsid w:val="00BB25B6"/>
    <w:rsid w:val="00BB5596"/>
    <w:rsid w:val="00BB5778"/>
    <w:rsid w:val="00BC434D"/>
    <w:rsid w:val="00BC69E7"/>
    <w:rsid w:val="00BC757A"/>
    <w:rsid w:val="00BC7682"/>
    <w:rsid w:val="00BC7D60"/>
    <w:rsid w:val="00BC7FFC"/>
    <w:rsid w:val="00BD0D2F"/>
    <w:rsid w:val="00BD1BF8"/>
    <w:rsid w:val="00BD2E2A"/>
    <w:rsid w:val="00BD32F4"/>
    <w:rsid w:val="00BE239D"/>
    <w:rsid w:val="00BE3CC4"/>
    <w:rsid w:val="00BE42DB"/>
    <w:rsid w:val="00BE42E2"/>
    <w:rsid w:val="00BF0295"/>
    <w:rsid w:val="00BF19D6"/>
    <w:rsid w:val="00BF321D"/>
    <w:rsid w:val="00BF3FFE"/>
    <w:rsid w:val="00BF4DBA"/>
    <w:rsid w:val="00BF5C6E"/>
    <w:rsid w:val="00C025A0"/>
    <w:rsid w:val="00C06CE0"/>
    <w:rsid w:val="00C07417"/>
    <w:rsid w:val="00C1168B"/>
    <w:rsid w:val="00C11DE9"/>
    <w:rsid w:val="00C124CB"/>
    <w:rsid w:val="00C13CAA"/>
    <w:rsid w:val="00C13D65"/>
    <w:rsid w:val="00C141B6"/>
    <w:rsid w:val="00C178B4"/>
    <w:rsid w:val="00C17C45"/>
    <w:rsid w:val="00C211A6"/>
    <w:rsid w:val="00C2193D"/>
    <w:rsid w:val="00C2212E"/>
    <w:rsid w:val="00C22382"/>
    <w:rsid w:val="00C22884"/>
    <w:rsid w:val="00C26045"/>
    <w:rsid w:val="00C265F6"/>
    <w:rsid w:val="00C27FC1"/>
    <w:rsid w:val="00C306E0"/>
    <w:rsid w:val="00C313BB"/>
    <w:rsid w:val="00C33395"/>
    <w:rsid w:val="00C33CE9"/>
    <w:rsid w:val="00C340A1"/>
    <w:rsid w:val="00C34E7A"/>
    <w:rsid w:val="00C36914"/>
    <w:rsid w:val="00C3736F"/>
    <w:rsid w:val="00C37454"/>
    <w:rsid w:val="00C42812"/>
    <w:rsid w:val="00C47B25"/>
    <w:rsid w:val="00C47EA7"/>
    <w:rsid w:val="00C50285"/>
    <w:rsid w:val="00C5029A"/>
    <w:rsid w:val="00C50798"/>
    <w:rsid w:val="00C53193"/>
    <w:rsid w:val="00C5393A"/>
    <w:rsid w:val="00C540C8"/>
    <w:rsid w:val="00C55451"/>
    <w:rsid w:val="00C55A4E"/>
    <w:rsid w:val="00C56F5C"/>
    <w:rsid w:val="00C5757D"/>
    <w:rsid w:val="00C57B25"/>
    <w:rsid w:val="00C57BD4"/>
    <w:rsid w:val="00C61103"/>
    <w:rsid w:val="00C61607"/>
    <w:rsid w:val="00C6305C"/>
    <w:rsid w:val="00C648EB"/>
    <w:rsid w:val="00C70A82"/>
    <w:rsid w:val="00C70B76"/>
    <w:rsid w:val="00C72075"/>
    <w:rsid w:val="00C7249A"/>
    <w:rsid w:val="00C74C81"/>
    <w:rsid w:val="00C750EA"/>
    <w:rsid w:val="00C75D02"/>
    <w:rsid w:val="00C76811"/>
    <w:rsid w:val="00C80B5A"/>
    <w:rsid w:val="00C82B59"/>
    <w:rsid w:val="00C84645"/>
    <w:rsid w:val="00C84A75"/>
    <w:rsid w:val="00C85B37"/>
    <w:rsid w:val="00C90857"/>
    <w:rsid w:val="00C90B8D"/>
    <w:rsid w:val="00C91729"/>
    <w:rsid w:val="00C919FA"/>
    <w:rsid w:val="00C940C4"/>
    <w:rsid w:val="00C94AA8"/>
    <w:rsid w:val="00C95BE0"/>
    <w:rsid w:val="00C95FA0"/>
    <w:rsid w:val="00CA3CE8"/>
    <w:rsid w:val="00CA443C"/>
    <w:rsid w:val="00CB056F"/>
    <w:rsid w:val="00CB1531"/>
    <w:rsid w:val="00CB18E5"/>
    <w:rsid w:val="00CB1B5A"/>
    <w:rsid w:val="00CB20F7"/>
    <w:rsid w:val="00CB4E0B"/>
    <w:rsid w:val="00CB6FE3"/>
    <w:rsid w:val="00CB78C5"/>
    <w:rsid w:val="00CB7EA1"/>
    <w:rsid w:val="00CC03DD"/>
    <w:rsid w:val="00CC1259"/>
    <w:rsid w:val="00CC2FC4"/>
    <w:rsid w:val="00CC7FEF"/>
    <w:rsid w:val="00CD087A"/>
    <w:rsid w:val="00CD0A30"/>
    <w:rsid w:val="00CD1498"/>
    <w:rsid w:val="00CD33FD"/>
    <w:rsid w:val="00CD5C5C"/>
    <w:rsid w:val="00CD6853"/>
    <w:rsid w:val="00CE236C"/>
    <w:rsid w:val="00CE2B2F"/>
    <w:rsid w:val="00CE2D86"/>
    <w:rsid w:val="00CE45F6"/>
    <w:rsid w:val="00CE49DF"/>
    <w:rsid w:val="00CE5DF2"/>
    <w:rsid w:val="00CE7206"/>
    <w:rsid w:val="00CF1329"/>
    <w:rsid w:val="00CF21DB"/>
    <w:rsid w:val="00CF23C9"/>
    <w:rsid w:val="00CF2D6F"/>
    <w:rsid w:val="00CF2E0C"/>
    <w:rsid w:val="00CF6724"/>
    <w:rsid w:val="00D03D73"/>
    <w:rsid w:val="00D04220"/>
    <w:rsid w:val="00D11981"/>
    <w:rsid w:val="00D120DC"/>
    <w:rsid w:val="00D126DE"/>
    <w:rsid w:val="00D13454"/>
    <w:rsid w:val="00D13BF4"/>
    <w:rsid w:val="00D14042"/>
    <w:rsid w:val="00D143D8"/>
    <w:rsid w:val="00D14B07"/>
    <w:rsid w:val="00D16419"/>
    <w:rsid w:val="00D17573"/>
    <w:rsid w:val="00D17BDF"/>
    <w:rsid w:val="00D227F2"/>
    <w:rsid w:val="00D2529C"/>
    <w:rsid w:val="00D30368"/>
    <w:rsid w:val="00D3050D"/>
    <w:rsid w:val="00D30622"/>
    <w:rsid w:val="00D30B1E"/>
    <w:rsid w:val="00D30E20"/>
    <w:rsid w:val="00D31C91"/>
    <w:rsid w:val="00D3201A"/>
    <w:rsid w:val="00D3442C"/>
    <w:rsid w:val="00D35D36"/>
    <w:rsid w:val="00D36E24"/>
    <w:rsid w:val="00D373A4"/>
    <w:rsid w:val="00D474FF"/>
    <w:rsid w:val="00D50079"/>
    <w:rsid w:val="00D50D3D"/>
    <w:rsid w:val="00D50DCB"/>
    <w:rsid w:val="00D51D76"/>
    <w:rsid w:val="00D529D9"/>
    <w:rsid w:val="00D555F4"/>
    <w:rsid w:val="00D578C6"/>
    <w:rsid w:val="00D60FBA"/>
    <w:rsid w:val="00D61A52"/>
    <w:rsid w:val="00D620B4"/>
    <w:rsid w:val="00D62277"/>
    <w:rsid w:val="00D62D1C"/>
    <w:rsid w:val="00D645C6"/>
    <w:rsid w:val="00D648DF"/>
    <w:rsid w:val="00D650B3"/>
    <w:rsid w:val="00D658EC"/>
    <w:rsid w:val="00D65A6B"/>
    <w:rsid w:val="00D661A3"/>
    <w:rsid w:val="00D679CC"/>
    <w:rsid w:val="00D703DC"/>
    <w:rsid w:val="00D712A2"/>
    <w:rsid w:val="00D72210"/>
    <w:rsid w:val="00D73237"/>
    <w:rsid w:val="00D739EF"/>
    <w:rsid w:val="00D73EA5"/>
    <w:rsid w:val="00D74383"/>
    <w:rsid w:val="00D75C75"/>
    <w:rsid w:val="00D76079"/>
    <w:rsid w:val="00D76810"/>
    <w:rsid w:val="00D76D93"/>
    <w:rsid w:val="00D814A0"/>
    <w:rsid w:val="00D84C7A"/>
    <w:rsid w:val="00D85DB8"/>
    <w:rsid w:val="00D871E3"/>
    <w:rsid w:val="00D8726A"/>
    <w:rsid w:val="00D93302"/>
    <w:rsid w:val="00D96E5B"/>
    <w:rsid w:val="00D970EC"/>
    <w:rsid w:val="00D97E7A"/>
    <w:rsid w:val="00DA13D9"/>
    <w:rsid w:val="00DA318B"/>
    <w:rsid w:val="00DA49ED"/>
    <w:rsid w:val="00DA5D6A"/>
    <w:rsid w:val="00DB0DD0"/>
    <w:rsid w:val="00DB0E1C"/>
    <w:rsid w:val="00DB22A6"/>
    <w:rsid w:val="00DB2981"/>
    <w:rsid w:val="00DB3EDD"/>
    <w:rsid w:val="00DB44BF"/>
    <w:rsid w:val="00DB4693"/>
    <w:rsid w:val="00DB4FB2"/>
    <w:rsid w:val="00DB5035"/>
    <w:rsid w:val="00DB584D"/>
    <w:rsid w:val="00DB6567"/>
    <w:rsid w:val="00DB6785"/>
    <w:rsid w:val="00DC0411"/>
    <w:rsid w:val="00DC066A"/>
    <w:rsid w:val="00DC09EA"/>
    <w:rsid w:val="00DC5CBC"/>
    <w:rsid w:val="00DD11B7"/>
    <w:rsid w:val="00DD2784"/>
    <w:rsid w:val="00DD29D7"/>
    <w:rsid w:val="00DD3875"/>
    <w:rsid w:val="00DD510B"/>
    <w:rsid w:val="00DD5B66"/>
    <w:rsid w:val="00DD5FDD"/>
    <w:rsid w:val="00DD6AB1"/>
    <w:rsid w:val="00DD7CFE"/>
    <w:rsid w:val="00DD7F82"/>
    <w:rsid w:val="00DE2097"/>
    <w:rsid w:val="00DE28D9"/>
    <w:rsid w:val="00DE2C29"/>
    <w:rsid w:val="00DE2FAA"/>
    <w:rsid w:val="00DE4B29"/>
    <w:rsid w:val="00DE5C55"/>
    <w:rsid w:val="00DE6A23"/>
    <w:rsid w:val="00DE7B5C"/>
    <w:rsid w:val="00DF05CB"/>
    <w:rsid w:val="00DF22B0"/>
    <w:rsid w:val="00DF4258"/>
    <w:rsid w:val="00DF446F"/>
    <w:rsid w:val="00DF46DF"/>
    <w:rsid w:val="00DF4DC8"/>
    <w:rsid w:val="00E00A8B"/>
    <w:rsid w:val="00E03920"/>
    <w:rsid w:val="00E03C55"/>
    <w:rsid w:val="00E03E13"/>
    <w:rsid w:val="00E04B09"/>
    <w:rsid w:val="00E05E10"/>
    <w:rsid w:val="00E06D4E"/>
    <w:rsid w:val="00E06FA6"/>
    <w:rsid w:val="00E15319"/>
    <w:rsid w:val="00E16448"/>
    <w:rsid w:val="00E21076"/>
    <w:rsid w:val="00E23427"/>
    <w:rsid w:val="00E2568F"/>
    <w:rsid w:val="00E25986"/>
    <w:rsid w:val="00E26834"/>
    <w:rsid w:val="00E307FF"/>
    <w:rsid w:val="00E33D31"/>
    <w:rsid w:val="00E342AC"/>
    <w:rsid w:val="00E35770"/>
    <w:rsid w:val="00E35FBE"/>
    <w:rsid w:val="00E363B4"/>
    <w:rsid w:val="00E37270"/>
    <w:rsid w:val="00E40494"/>
    <w:rsid w:val="00E423FB"/>
    <w:rsid w:val="00E43427"/>
    <w:rsid w:val="00E43AF7"/>
    <w:rsid w:val="00E45594"/>
    <w:rsid w:val="00E458F9"/>
    <w:rsid w:val="00E45D8A"/>
    <w:rsid w:val="00E4601E"/>
    <w:rsid w:val="00E46CFD"/>
    <w:rsid w:val="00E47C03"/>
    <w:rsid w:val="00E47F3D"/>
    <w:rsid w:val="00E52283"/>
    <w:rsid w:val="00E5241F"/>
    <w:rsid w:val="00E52C21"/>
    <w:rsid w:val="00E54269"/>
    <w:rsid w:val="00E55A01"/>
    <w:rsid w:val="00E6065C"/>
    <w:rsid w:val="00E614DF"/>
    <w:rsid w:val="00E61878"/>
    <w:rsid w:val="00E6200E"/>
    <w:rsid w:val="00E63A6C"/>
    <w:rsid w:val="00E65ABA"/>
    <w:rsid w:val="00E6683F"/>
    <w:rsid w:val="00E670C3"/>
    <w:rsid w:val="00E671D4"/>
    <w:rsid w:val="00E67F3A"/>
    <w:rsid w:val="00E72E22"/>
    <w:rsid w:val="00E72F5F"/>
    <w:rsid w:val="00E746E0"/>
    <w:rsid w:val="00E755E6"/>
    <w:rsid w:val="00E757FD"/>
    <w:rsid w:val="00E75917"/>
    <w:rsid w:val="00E83421"/>
    <w:rsid w:val="00E857AD"/>
    <w:rsid w:val="00E859D0"/>
    <w:rsid w:val="00E914E0"/>
    <w:rsid w:val="00E9262B"/>
    <w:rsid w:val="00E93DE4"/>
    <w:rsid w:val="00E94CD0"/>
    <w:rsid w:val="00E94FA4"/>
    <w:rsid w:val="00E97408"/>
    <w:rsid w:val="00E97BDE"/>
    <w:rsid w:val="00EA1204"/>
    <w:rsid w:val="00EA18B9"/>
    <w:rsid w:val="00EA1B45"/>
    <w:rsid w:val="00EA2505"/>
    <w:rsid w:val="00EA3FBA"/>
    <w:rsid w:val="00EA4883"/>
    <w:rsid w:val="00EA48ED"/>
    <w:rsid w:val="00EB1D34"/>
    <w:rsid w:val="00EB4355"/>
    <w:rsid w:val="00EB4E36"/>
    <w:rsid w:val="00EB6363"/>
    <w:rsid w:val="00EC0668"/>
    <w:rsid w:val="00EC2A54"/>
    <w:rsid w:val="00EC37CC"/>
    <w:rsid w:val="00EC4EA3"/>
    <w:rsid w:val="00EC6A52"/>
    <w:rsid w:val="00EC74BC"/>
    <w:rsid w:val="00EC79A1"/>
    <w:rsid w:val="00ED3477"/>
    <w:rsid w:val="00ED41E8"/>
    <w:rsid w:val="00ED42EA"/>
    <w:rsid w:val="00ED7682"/>
    <w:rsid w:val="00ED793B"/>
    <w:rsid w:val="00EE2D7F"/>
    <w:rsid w:val="00EE2E10"/>
    <w:rsid w:val="00EE31CB"/>
    <w:rsid w:val="00EE3F04"/>
    <w:rsid w:val="00EE6178"/>
    <w:rsid w:val="00EE6541"/>
    <w:rsid w:val="00EE6C14"/>
    <w:rsid w:val="00EE7424"/>
    <w:rsid w:val="00EE7F4E"/>
    <w:rsid w:val="00EF0CC4"/>
    <w:rsid w:val="00EF340F"/>
    <w:rsid w:val="00EF4142"/>
    <w:rsid w:val="00EF533D"/>
    <w:rsid w:val="00EF5FC4"/>
    <w:rsid w:val="00EF6339"/>
    <w:rsid w:val="00F01BB9"/>
    <w:rsid w:val="00F0612B"/>
    <w:rsid w:val="00F108A0"/>
    <w:rsid w:val="00F10A38"/>
    <w:rsid w:val="00F119E7"/>
    <w:rsid w:val="00F13FF4"/>
    <w:rsid w:val="00F14F16"/>
    <w:rsid w:val="00F159E6"/>
    <w:rsid w:val="00F1705B"/>
    <w:rsid w:val="00F17D30"/>
    <w:rsid w:val="00F17E65"/>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47FB"/>
    <w:rsid w:val="00F60E6F"/>
    <w:rsid w:val="00F62C4C"/>
    <w:rsid w:val="00F6527B"/>
    <w:rsid w:val="00F66961"/>
    <w:rsid w:val="00F67E6C"/>
    <w:rsid w:val="00F70D43"/>
    <w:rsid w:val="00F72DDC"/>
    <w:rsid w:val="00F73016"/>
    <w:rsid w:val="00F73B6E"/>
    <w:rsid w:val="00F73D71"/>
    <w:rsid w:val="00F75C98"/>
    <w:rsid w:val="00F83B15"/>
    <w:rsid w:val="00F84850"/>
    <w:rsid w:val="00F855C6"/>
    <w:rsid w:val="00F8608D"/>
    <w:rsid w:val="00F95FF4"/>
    <w:rsid w:val="00F96F3A"/>
    <w:rsid w:val="00F97B5F"/>
    <w:rsid w:val="00FA0BC6"/>
    <w:rsid w:val="00FA22D0"/>
    <w:rsid w:val="00FA4182"/>
    <w:rsid w:val="00FA49AE"/>
    <w:rsid w:val="00FA4EFD"/>
    <w:rsid w:val="00FA56ED"/>
    <w:rsid w:val="00FA6352"/>
    <w:rsid w:val="00FA720C"/>
    <w:rsid w:val="00FA7BA5"/>
    <w:rsid w:val="00FB00D1"/>
    <w:rsid w:val="00FB1F0B"/>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0EC9"/>
    <w:rsid w:val="00FD2DB5"/>
    <w:rsid w:val="00FD4864"/>
    <w:rsid w:val="00FD5CB2"/>
    <w:rsid w:val="00FD6A2F"/>
    <w:rsid w:val="00FD6D4B"/>
    <w:rsid w:val="00FE17D7"/>
    <w:rsid w:val="00FE396B"/>
    <w:rsid w:val="00FE44EE"/>
    <w:rsid w:val="00FE5A3E"/>
    <w:rsid w:val="00FE654B"/>
    <w:rsid w:val="00FE6ECB"/>
    <w:rsid w:val="00FF0A8B"/>
    <w:rsid w:val="00FF1E41"/>
    <w:rsid w:val="00FF4372"/>
    <w:rsid w:val="00FF59E7"/>
    <w:rsid w:val="00FF752A"/>
    <w:rsid w:val="00FF7BD9"/>
    <w:rsid w:val="03F440F6"/>
    <w:rsid w:val="049623F8"/>
    <w:rsid w:val="054A3C8A"/>
    <w:rsid w:val="05B95F1E"/>
    <w:rsid w:val="086E1568"/>
    <w:rsid w:val="08B413EE"/>
    <w:rsid w:val="08DB450F"/>
    <w:rsid w:val="09630209"/>
    <w:rsid w:val="0D9C70D9"/>
    <w:rsid w:val="0DE7465B"/>
    <w:rsid w:val="0F3F7BC8"/>
    <w:rsid w:val="10185A7B"/>
    <w:rsid w:val="10B15434"/>
    <w:rsid w:val="12C50C1A"/>
    <w:rsid w:val="15774764"/>
    <w:rsid w:val="17F301A9"/>
    <w:rsid w:val="199A0A0E"/>
    <w:rsid w:val="199F589E"/>
    <w:rsid w:val="19EF1374"/>
    <w:rsid w:val="1A95003E"/>
    <w:rsid w:val="1B813CE0"/>
    <w:rsid w:val="1B9D4516"/>
    <w:rsid w:val="200643E5"/>
    <w:rsid w:val="219E2716"/>
    <w:rsid w:val="224E6F04"/>
    <w:rsid w:val="22624C8B"/>
    <w:rsid w:val="23F772A3"/>
    <w:rsid w:val="28A02A1B"/>
    <w:rsid w:val="28E9510D"/>
    <w:rsid w:val="2F7A734E"/>
    <w:rsid w:val="302E1E1A"/>
    <w:rsid w:val="33CE6340"/>
    <w:rsid w:val="37672FB0"/>
    <w:rsid w:val="37883E7E"/>
    <w:rsid w:val="380B7200"/>
    <w:rsid w:val="381C5B0D"/>
    <w:rsid w:val="3A8F55CD"/>
    <w:rsid w:val="3B537E3D"/>
    <w:rsid w:val="3B910303"/>
    <w:rsid w:val="40482E6A"/>
    <w:rsid w:val="463F2F6A"/>
    <w:rsid w:val="47C13C63"/>
    <w:rsid w:val="4DDB6F48"/>
    <w:rsid w:val="4DF0361D"/>
    <w:rsid w:val="4E9F73FB"/>
    <w:rsid w:val="5142405A"/>
    <w:rsid w:val="5172570A"/>
    <w:rsid w:val="52C771B4"/>
    <w:rsid w:val="53980F62"/>
    <w:rsid w:val="54731278"/>
    <w:rsid w:val="54D5201C"/>
    <w:rsid w:val="54E86EE4"/>
    <w:rsid w:val="55AC4B21"/>
    <w:rsid w:val="56E9380E"/>
    <w:rsid w:val="57322C6A"/>
    <w:rsid w:val="5AA727CA"/>
    <w:rsid w:val="5CF01AC2"/>
    <w:rsid w:val="5D4E5899"/>
    <w:rsid w:val="5F616EAA"/>
    <w:rsid w:val="60895EF6"/>
    <w:rsid w:val="612748DD"/>
    <w:rsid w:val="61E51EA2"/>
    <w:rsid w:val="63F60F25"/>
    <w:rsid w:val="65B37642"/>
    <w:rsid w:val="68CE4C4D"/>
    <w:rsid w:val="69084F69"/>
    <w:rsid w:val="69955344"/>
    <w:rsid w:val="6A2C6146"/>
    <w:rsid w:val="6B5A63A7"/>
    <w:rsid w:val="6B6507A9"/>
    <w:rsid w:val="6CDF4AA4"/>
    <w:rsid w:val="6F376AE5"/>
    <w:rsid w:val="6F581245"/>
    <w:rsid w:val="70C057C5"/>
    <w:rsid w:val="70E015B7"/>
    <w:rsid w:val="71FB4F03"/>
    <w:rsid w:val="747B6D6D"/>
    <w:rsid w:val="75171DCD"/>
    <w:rsid w:val="76187ABC"/>
    <w:rsid w:val="7A7D47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1"/>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3"/>
    <w:semiHidden/>
    <w:qFormat/>
    <w:uiPriority w:val="0"/>
    <w:rPr>
      <w:rFonts w:ascii="宋体"/>
      <w:kern w:val="0"/>
      <w:sz w:val="18"/>
      <w:szCs w:val="18"/>
    </w:rPr>
  </w:style>
  <w:style w:type="paragraph" w:styleId="6">
    <w:name w:val="annotation text"/>
    <w:basedOn w:val="1"/>
    <w:link w:val="47"/>
    <w:qFormat/>
    <w:uiPriority w:val="0"/>
    <w:pPr>
      <w:spacing w:line="460" w:lineRule="exact"/>
      <w:jc w:val="left"/>
    </w:pPr>
    <w:rPr>
      <w:rFonts w:ascii="Calibri" w:hAnsi="Calibri"/>
      <w:szCs w:val="21"/>
    </w:rPr>
  </w:style>
  <w:style w:type="paragraph" w:styleId="7">
    <w:name w:val="Body Text"/>
    <w:basedOn w:val="1"/>
    <w:link w:val="51"/>
    <w:qFormat/>
    <w:uiPriority w:val="0"/>
    <w:pPr>
      <w:spacing w:line="380" w:lineRule="exact"/>
    </w:pPr>
    <w:rPr>
      <w:rFonts w:eastAsia="仿宋_GB2312"/>
      <w:sz w:val="28"/>
      <w:szCs w:val="20"/>
    </w:rPr>
  </w:style>
  <w:style w:type="paragraph" w:styleId="8">
    <w:name w:val="Body Text Indent"/>
    <w:basedOn w:val="1"/>
    <w:link w:val="40"/>
    <w:qFormat/>
    <w:uiPriority w:val="0"/>
    <w:pPr>
      <w:spacing w:line="460" w:lineRule="exact"/>
      <w:ind w:firstLine="630"/>
    </w:pPr>
    <w:rPr>
      <w:rFonts w:ascii="仿宋_GB2312" w:eastAsia="仿宋_GB2312"/>
      <w:sz w:val="32"/>
      <w:szCs w:val="20"/>
    </w:rPr>
  </w:style>
  <w:style w:type="paragraph" w:styleId="9">
    <w:name w:val="Plain Text"/>
    <w:basedOn w:val="1"/>
    <w:link w:val="46"/>
    <w:qFormat/>
    <w:uiPriority w:val="0"/>
    <w:pPr>
      <w:spacing w:line="460" w:lineRule="exact"/>
    </w:pPr>
    <w:rPr>
      <w:rFonts w:ascii="宋体" w:hAnsi="Courier New"/>
      <w:szCs w:val="20"/>
    </w:rPr>
  </w:style>
  <w:style w:type="paragraph" w:styleId="10">
    <w:name w:val="Date"/>
    <w:basedOn w:val="1"/>
    <w:next w:val="1"/>
    <w:link w:val="50"/>
    <w:qFormat/>
    <w:uiPriority w:val="0"/>
    <w:pPr>
      <w:ind w:left="100" w:leftChars="2500"/>
    </w:pPr>
    <w:rPr>
      <w:kern w:val="0"/>
      <w:sz w:val="24"/>
    </w:rPr>
  </w:style>
  <w:style w:type="paragraph" w:styleId="11">
    <w:name w:val="Body Text Indent 2"/>
    <w:basedOn w:val="1"/>
    <w:link w:val="44"/>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5"/>
    <w:semiHidden/>
    <w:qFormat/>
    <w:uiPriority w:val="0"/>
    <w:rPr>
      <w:kern w:val="0"/>
      <w:sz w:val="18"/>
      <w:szCs w:val="18"/>
    </w:rPr>
  </w:style>
  <w:style w:type="paragraph" w:styleId="13">
    <w:name w:val="footer"/>
    <w:basedOn w:val="1"/>
    <w:link w:val="52"/>
    <w:qFormat/>
    <w:uiPriority w:val="99"/>
    <w:pPr>
      <w:tabs>
        <w:tab w:val="center" w:pos="4153"/>
        <w:tab w:val="right" w:pos="8306"/>
      </w:tabs>
      <w:snapToGrid w:val="0"/>
      <w:jc w:val="left"/>
    </w:pPr>
    <w:rPr>
      <w:kern w:val="0"/>
      <w:sz w:val="18"/>
      <w:szCs w:val="18"/>
    </w:rPr>
  </w:style>
  <w:style w:type="paragraph" w:styleId="14">
    <w:name w:val="header"/>
    <w:basedOn w:val="1"/>
    <w:link w:val="49"/>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footnote text"/>
    <w:basedOn w:val="1"/>
    <w:semiHidden/>
    <w:unhideWhenUsed/>
    <w:qFormat/>
    <w:uiPriority w:val="0"/>
    <w:pPr>
      <w:snapToGrid w:val="0"/>
      <w:jc w:val="left"/>
    </w:pPr>
    <w:rPr>
      <w:sz w:val="18"/>
    </w:rPr>
  </w:style>
  <w:style w:type="paragraph" w:styleId="16">
    <w:name w:val="Body Text Indent 3"/>
    <w:basedOn w:val="1"/>
    <w:link w:val="42"/>
    <w:qFormat/>
    <w:uiPriority w:val="0"/>
    <w:pPr>
      <w:adjustRightInd w:val="0"/>
      <w:snapToGrid w:val="0"/>
      <w:spacing w:line="360" w:lineRule="auto"/>
      <w:ind w:left="75" w:firstLine="345"/>
      <w:outlineLvl w:val="0"/>
    </w:pPr>
    <w:rPr>
      <w:rFonts w:ascii="宋体"/>
      <w:kern w:val="0"/>
      <w:szCs w:val="21"/>
    </w:rPr>
  </w:style>
  <w:style w:type="paragraph" w:styleId="17">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8">
    <w:name w:val="annotation subject"/>
    <w:basedOn w:val="6"/>
    <w:next w:val="6"/>
    <w:link w:val="54"/>
    <w:semiHidden/>
    <w:qFormat/>
    <w:uiPriority w:val="0"/>
    <w:rPr>
      <w:b/>
      <w:bCs/>
    </w:r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locked/>
    <w:uiPriority w:val="22"/>
    <w:rPr>
      <w:b/>
      <w:bCs/>
    </w:rPr>
  </w:style>
  <w:style w:type="character" w:styleId="23">
    <w:name w:val="page number"/>
    <w:qFormat/>
    <w:uiPriority w:val="0"/>
    <w:rPr>
      <w:rFonts w:cs="Times New Roman"/>
    </w:rPr>
  </w:style>
  <w:style w:type="character" w:styleId="24">
    <w:name w:val="FollowedHyperlink"/>
    <w:qFormat/>
    <w:uiPriority w:val="0"/>
    <w:rPr>
      <w:rFonts w:cs="Times New Roman"/>
      <w:color w:val="800080"/>
      <w:u w:val="single"/>
    </w:rPr>
  </w:style>
  <w:style w:type="character" w:styleId="25">
    <w:name w:val="Emphasis"/>
    <w:basedOn w:val="21"/>
    <w:qFormat/>
    <w:locked/>
    <w:uiPriority w:val="0"/>
    <w:rPr>
      <w:i/>
    </w:rPr>
  </w:style>
  <w:style w:type="character" w:styleId="26">
    <w:name w:val="Hyperlink"/>
    <w:basedOn w:val="21"/>
    <w:qFormat/>
    <w:uiPriority w:val="0"/>
    <w:rPr>
      <w:rFonts w:cs="Times New Roman"/>
      <w:color w:val="1B227E"/>
      <w:u w:val="none"/>
    </w:rPr>
  </w:style>
  <w:style w:type="character" w:styleId="27">
    <w:name w:val="annotation reference"/>
    <w:semiHidden/>
    <w:qFormat/>
    <w:uiPriority w:val="0"/>
    <w:rPr>
      <w:rFonts w:cs="Times New Roman"/>
      <w:sz w:val="21"/>
      <w:szCs w:val="21"/>
    </w:rPr>
  </w:style>
  <w:style w:type="character" w:styleId="28">
    <w:name w:val="footnote reference"/>
    <w:semiHidden/>
    <w:qFormat/>
    <w:uiPriority w:val="0"/>
    <w:rPr>
      <w:rFonts w:cs="Times New Roman"/>
      <w:vertAlign w:val="superscript"/>
    </w:rPr>
  </w:style>
  <w:style w:type="paragraph" w:customStyle="1" w:styleId="29">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30">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31">
    <w:name w:val="修订1"/>
    <w:qFormat/>
    <w:uiPriority w:val="0"/>
    <w:rPr>
      <w:rFonts w:ascii="Times New Roman" w:hAnsi="Times New Roman" w:eastAsia="宋体" w:cs="Times New Roman"/>
      <w:kern w:val="2"/>
      <w:sz w:val="21"/>
      <w:szCs w:val="24"/>
      <w:lang w:val="en-US" w:eastAsia="zh-CN" w:bidi="ar-SA"/>
    </w:rPr>
  </w:style>
  <w:style w:type="paragraph" w:customStyle="1" w:styleId="32">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3">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4">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5">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6">
    <w:name w:val="列出段落1"/>
    <w:basedOn w:val="1"/>
    <w:qFormat/>
    <w:uiPriority w:val="0"/>
    <w:pPr>
      <w:ind w:firstLine="420" w:firstLineChars="200"/>
    </w:pPr>
  </w:style>
  <w:style w:type="paragraph" w:customStyle="1" w:styleId="37">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8">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9">
    <w:name w:val="标题 1 字符"/>
    <w:link w:val="2"/>
    <w:qFormat/>
    <w:locked/>
    <w:uiPriority w:val="0"/>
    <w:rPr>
      <w:rFonts w:cs="Times New Roman"/>
      <w:b/>
      <w:bCs/>
      <w:kern w:val="44"/>
      <w:sz w:val="44"/>
      <w:szCs w:val="44"/>
    </w:rPr>
  </w:style>
  <w:style w:type="character" w:customStyle="1" w:styleId="40">
    <w:name w:val="正文文本缩进 字符"/>
    <w:link w:val="8"/>
    <w:qFormat/>
    <w:locked/>
    <w:uiPriority w:val="0"/>
    <w:rPr>
      <w:rFonts w:ascii="仿宋_GB2312" w:eastAsia="仿宋_GB2312" w:cs="Times New Roman"/>
      <w:kern w:val="2"/>
      <w:sz w:val="32"/>
    </w:rPr>
  </w:style>
  <w:style w:type="character" w:customStyle="1" w:styleId="41">
    <w:name w:val="标题 2 字符"/>
    <w:link w:val="3"/>
    <w:qFormat/>
    <w:locked/>
    <w:uiPriority w:val="0"/>
    <w:rPr>
      <w:rFonts w:ascii="宋体" w:eastAsia="宋体" w:cs="Times New Roman"/>
      <w:b/>
      <w:bCs/>
      <w:sz w:val="36"/>
      <w:szCs w:val="36"/>
    </w:rPr>
  </w:style>
  <w:style w:type="character" w:customStyle="1" w:styleId="42">
    <w:name w:val="正文文本缩进 3 字符"/>
    <w:link w:val="16"/>
    <w:qFormat/>
    <w:locked/>
    <w:uiPriority w:val="0"/>
    <w:rPr>
      <w:rFonts w:ascii="宋体" w:eastAsia="宋体" w:cs="Times New Roman"/>
      <w:sz w:val="21"/>
      <w:szCs w:val="21"/>
    </w:rPr>
  </w:style>
  <w:style w:type="character" w:customStyle="1" w:styleId="43">
    <w:name w:val="edited2"/>
    <w:qFormat/>
    <w:uiPriority w:val="0"/>
    <w:rPr>
      <w:rFonts w:cs="Times New Roman"/>
    </w:rPr>
  </w:style>
  <w:style w:type="character" w:customStyle="1" w:styleId="44">
    <w:name w:val="正文文本缩进 2 字符"/>
    <w:link w:val="11"/>
    <w:qFormat/>
    <w:locked/>
    <w:uiPriority w:val="0"/>
    <w:rPr>
      <w:rFonts w:ascii="仿宋_GB2312" w:eastAsia="仿宋_GB2312" w:cs="Times New Roman"/>
      <w:sz w:val="28"/>
    </w:rPr>
  </w:style>
  <w:style w:type="character" w:customStyle="1" w:styleId="45">
    <w:name w:val="high-light-bg4"/>
    <w:qFormat/>
    <w:uiPriority w:val="0"/>
    <w:rPr>
      <w:rFonts w:cs="Times New Roman"/>
    </w:rPr>
  </w:style>
  <w:style w:type="character" w:customStyle="1" w:styleId="46">
    <w:name w:val="纯文本 字符"/>
    <w:link w:val="9"/>
    <w:qFormat/>
    <w:locked/>
    <w:uiPriority w:val="0"/>
    <w:rPr>
      <w:rFonts w:ascii="宋体" w:hAnsi="Courier New" w:cs="Times New Roman"/>
      <w:kern w:val="2"/>
      <w:sz w:val="21"/>
    </w:rPr>
  </w:style>
  <w:style w:type="character" w:customStyle="1" w:styleId="47">
    <w:name w:val="批注文字 字符"/>
    <w:link w:val="6"/>
    <w:qFormat/>
    <w:locked/>
    <w:uiPriority w:val="0"/>
    <w:rPr>
      <w:rFonts w:ascii="Calibri" w:hAnsi="Calibri" w:cs="Calibri"/>
      <w:kern w:val="2"/>
      <w:sz w:val="21"/>
      <w:szCs w:val="21"/>
    </w:rPr>
  </w:style>
  <w:style w:type="character" w:customStyle="1" w:styleId="48">
    <w:name w:val="unnamed2"/>
    <w:qFormat/>
    <w:uiPriority w:val="0"/>
    <w:rPr>
      <w:rFonts w:cs="Times New Roman"/>
    </w:rPr>
  </w:style>
  <w:style w:type="character" w:customStyle="1" w:styleId="49">
    <w:name w:val="页眉 字符"/>
    <w:link w:val="14"/>
    <w:qFormat/>
    <w:locked/>
    <w:uiPriority w:val="0"/>
    <w:rPr>
      <w:rFonts w:cs="Times New Roman"/>
      <w:sz w:val="18"/>
      <w:szCs w:val="18"/>
    </w:rPr>
  </w:style>
  <w:style w:type="character" w:customStyle="1" w:styleId="50">
    <w:name w:val="日期 字符"/>
    <w:link w:val="10"/>
    <w:qFormat/>
    <w:locked/>
    <w:uiPriority w:val="0"/>
    <w:rPr>
      <w:rFonts w:cs="Times New Roman"/>
      <w:sz w:val="24"/>
      <w:szCs w:val="24"/>
    </w:rPr>
  </w:style>
  <w:style w:type="character" w:customStyle="1" w:styleId="51">
    <w:name w:val="正文文本 字符"/>
    <w:link w:val="7"/>
    <w:qFormat/>
    <w:locked/>
    <w:uiPriority w:val="0"/>
    <w:rPr>
      <w:rFonts w:eastAsia="仿宋_GB2312" w:cs="Times New Roman"/>
      <w:kern w:val="2"/>
      <w:sz w:val="28"/>
    </w:rPr>
  </w:style>
  <w:style w:type="character" w:customStyle="1" w:styleId="52">
    <w:name w:val="页脚 字符"/>
    <w:link w:val="13"/>
    <w:qFormat/>
    <w:locked/>
    <w:uiPriority w:val="99"/>
    <w:rPr>
      <w:rFonts w:cs="Times New Roman"/>
      <w:sz w:val="18"/>
      <w:szCs w:val="18"/>
    </w:rPr>
  </w:style>
  <w:style w:type="character" w:customStyle="1" w:styleId="53">
    <w:name w:val="文档结构图 字符"/>
    <w:link w:val="5"/>
    <w:qFormat/>
    <w:locked/>
    <w:uiPriority w:val="0"/>
    <w:rPr>
      <w:rFonts w:ascii="宋体" w:cs="Times New Roman"/>
      <w:sz w:val="18"/>
      <w:szCs w:val="18"/>
    </w:rPr>
  </w:style>
  <w:style w:type="character" w:customStyle="1" w:styleId="54">
    <w:name w:val="批注主题 字符"/>
    <w:link w:val="18"/>
    <w:semiHidden/>
    <w:qFormat/>
    <w:locked/>
    <w:uiPriority w:val="0"/>
    <w:rPr>
      <w:rFonts w:ascii="Calibri" w:hAnsi="Calibri" w:cs="Calibri"/>
      <w:b/>
      <w:bCs/>
      <w:kern w:val="2"/>
      <w:sz w:val="21"/>
      <w:szCs w:val="21"/>
    </w:rPr>
  </w:style>
  <w:style w:type="character" w:customStyle="1" w:styleId="55">
    <w:name w:val="批注框文本 字符"/>
    <w:link w:val="12"/>
    <w:qFormat/>
    <w:locked/>
    <w:uiPriority w:val="0"/>
    <w:rPr>
      <w:rFonts w:cs="Times New Roman"/>
      <w:sz w:val="18"/>
      <w:szCs w:val="18"/>
    </w:rPr>
  </w:style>
  <w:style w:type="paragraph" w:customStyle="1" w:styleId="56">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7">
    <w:name w:val="列出段落2"/>
    <w:basedOn w:val="1"/>
    <w:qFormat/>
    <w:uiPriority w:val="0"/>
    <w:pPr>
      <w:ind w:firstLine="420" w:firstLineChars="200"/>
    </w:pPr>
    <w:rPr>
      <w:rFonts w:ascii="等线" w:hAnsi="等线" w:eastAsia="等线"/>
      <w:szCs w:val="21"/>
    </w:rPr>
  </w:style>
  <w:style w:type="paragraph" w:styleId="58">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sdu</Company>
  <Pages>1</Pages>
  <Words>2375</Words>
  <Characters>13540</Characters>
  <Lines>112</Lines>
  <Paragraphs>31</Paragraphs>
  <TotalTime>18</TotalTime>
  <ScaleCrop>false</ScaleCrop>
  <LinksUpToDate>false</LinksUpToDate>
  <CharactersWithSpaces>15884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2021-05-25T02:27:00Z</dcterms:created>
  <dc:creator>LIU</dc:creator>
  <cp:lastModifiedBy>FZB</cp:lastModifiedBy>
  <cp:lastPrinted>2021-10-27T06:50:00Z</cp:lastPrinted>
  <dcterms:modified xsi:type="dcterms:W3CDTF">2021-10-27T07:18:36Z</dcterms:modified>
  <dc:title>*</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FB91259E57FC48819C5AD75BCEB379EF</vt:lpwstr>
  </property>
</Properties>
</file>